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720" w:lineRule="auto"/>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 xml:space="preserve">招标文件</w:t>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firstLine="0"/>
        <w:jc w:val="center"/>
        <w:spacing w:line="500" w:lineRule="exact"/>
        <w:rPr>
          <w:rFonts w:hint="eastAsia" w:ascii="宋体" w:hAnsi="宋体" w:eastAsia="宋体" w:cs="宋体"/>
          <w:b/>
          <w:bCs w:val="0"/>
          <w:color w:val="auto"/>
          <w:sz w:val="36"/>
          <w:szCs w:val="36"/>
          <w:highlight w:val="none"/>
          <w:u w:val="single"/>
          <w:lang w:val="en-US" w:eastAsia="zh-CN"/>
        </w:rPr>
      </w:pPr>
      <w:r>
        <w:rPr>
          <w:rFonts w:hint="eastAsia" w:ascii="宋体" w:hAnsi="宋体" w:eastAsia="宋体" w:cs="宋体"/>
          <w:b/>
          <w:color w:val="auto"/>
          <w:sz w:val="36"/>
          <w:szCs w:val="36"/>
          <w:highlight w:val="none"/>
        </w:rPr>
        <w:t xml:space="preserve">项目编号：JSZC-320904-YCHY-G2025-0016</w:t>
      </w:r>
      <w:r>
        <w:rPr>
          <w:rFonts w:hint="eastAsia" w:ascii="宋体" w:hAnsi="宋体" w:eastAsia="宋体" w:cs="宋体"/>
          <w:b/>
          <w:color w:val="auto"/>
          <w:sz w:val="36"/>
          <w:szCs w:val="36"/>
          <w:highlight w:val="none"/>
        </w:rPr>
        <w:tab/>
      </w:r>
      <w:r/>
    </w:p>
    <w:p>
      <w:pPr>
        <w:jc w:val="left"/>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500" w:lineRule="exact"/>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项目名称：</w:t>
      </w:r>
      <w:r>
        <w:rPr>
          <w:rFonts w:hint="eastAsia" w:cs="宋体"/>
          <w:b/>
          <w:color w:val="auto"/>
          <w:sz w:val="36"/>
          <w:szCs w:val="36"/>
          <w:highlight w:val="none"/>
          <w:lang w:eastAsia="zh-CN"/>
        </w:rPr>
        <w:t xml:space="preserve">区影剧院安全和维修项目（空调系统采购及安装）</w:t>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61"/>
        <w:ind w:firstLine="60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00" w:lineRule="exact"/>
        <w:rPr>
          <w:rFonts w:hint="eastAsia" w:ascii="宋体" w:hAnsi="宋体" w:eastAsia="宋体" w:cs="宋体"/>
          <w:bCs/>
          <w:color w:val="auto"/>
          <w:spacing w:val="15"/>
          <w:sz w:val="32"/>
          <w:szCs w:val="32"/>
          <w:highlight w:val="none"/>
        </w:rPr>
      </w:pPr>
      <w:r>
        <w:rPr>
          <w:rFonts w:hint="eastAsia" w:ascii="宋体" w:hAnsi="宋体" w:eastAsia="宋体" w:cs="宋体"/>
          <w:bCs/>
          <w:color w:val="auto"/>
          <w:spacing w:val="15"/>
          <w:sz w:val="32"/>
          <w:szCs w:val="32"/>
          <w:highlight w:val="none"/>
        </w:rPr>
      </w:r>
      <w:r/>
    </w:p>
    <w:p>
      <w:pPr>
        <w:jc w:val="center"/>
        <w:spacing w:line="500" w:lineRule="exact"/>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spacing w:line="500" w:lineRule="exact"/>
        <w:rPr>
          <w:rFonts w:hint="eastAsia" w:ascii="宋体" w:hAnsi="宋体" w:eastAsia="宋体" w:cs="宋体"/>
          <w:b/>
          <w:bCs/>
          <w:color w:val="auto"/>
          <w:sz w:val="32"/>
          <w:szCs w:val="32"/>
          <w:highlight w:val="none"/>
          <w:lang w:val="en-US" w:eastAsia="zh-CN"/>
        </w:rPr>
      </w:pPr>
      <w:r>
        <w:rPr>
          <w:rFonts w:hint="eastAsia" w:cs="宋体"/>
          <w:b/>
          <w:bCs/>
          <w:color w:val="auto"/>
          <w:sz w:val="32"/>
          <w:szCs w:val="32"/>
          <w:highlight w:val="none"/>
          <w:lang w:eastAsia="zh-CN"/>
        </w:rPr>
        <w:t xml:space="preserve">盐城市大丰区文化广电和旅游局</w:t>
      </w:r>
      <w:r/>
    </w:p>
    <w:p>
      <w:pPr>
        <w:jc w:val="center"/>
        <w:spacing w:line="500" w:lineRule="exact"/>
        <w:rPr>
          <w:rFonts w:hint="eastAsia" w:ascii="宋体" w:hAnsi="宋体" w:eastAsia="宋体" w:cs="宋体"/>
          <w:b/>
          <w:bCs/>
          <w:color w:val="auto"/>
          <w:sz w:val="32"/>
          <w:szCs w:val="32"/>
          <w:highlight w:val="none"/>
          <w:lang w:val="en-US" w:eastAsia="zh-CN"/>
        </w:rPr>
      </w:pPr>
      <w:r>
        <w:rPr>
          <w:rFonts w:hint="eastAsia" w:cs="宋体"/>
          <w:b/>
          <w:bCs/>
          <w:color w:val="auto"/>
          <w:sz w:val="32"/>
          <w:szCs w:val="32"/>
          <w:highlight w:val="none"/>
          <w:lang w:val="en-US" w:eastAsia="zh-CN"/>
        </w:rPr>
        <w:t xml:space="preserve">盐城宏源工程管理有限公司</w:t>
      </w:r>
      <w:r/>
    </w:p>
    <w:p>
      <w:pPr>
        <w:jc w:val="center"/>
        <w:spacing w:line="5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rPr>
        <w:t xml:space="preserve">年</w:t>
      </w:r>
      <w:r>
        <w:rPr>
          <w:rFonts w:hint="eastAsia" w:cs="宋体"/>
          <w:b/>
          <w:bCs/>
          <w:color w:val="auto"/>
          <w:sz w:val="32"/>
          <w:szCs w:val="32"/>
          <w:highlight w:val="none"/>
          <w:lang w:val="en-US" w:eastAsia="zh-CN"/>
        </w:rPr>
        <w:t xml:space="preserve">11</w:t>
      </w:r>
      <w:r>
        <w:rPr>
          <w:rFonts w:hint="eastAsia" w:ascii="宋体" w:hAnsi="宋体" w:eastAsia="宋体" w:cs="宋体"/>
          <w:b/>
          <w:bCs/>
          <w:color w:val="auto"/>
          <w:sz w:val="32"/>
          <w:szCs w:val="32"/>
          <w:highlight w:val="none"/>
        </w:rPr>
        <w:t xml:space="preserve">月</w:t>
      </w:r>
      <w:r/>
    </w:p>
    <w:p>
      <w:pPr>
        <w:ind w:firstLine="0"/>
        <w:jc w:val="center"/>
        <w:spacing w:line="240" w:lineRule="auto"/>
        <w:rPr>
          <w:rFonts w:hint="eastAsia" w:ascii="宋体" w:hAnsi="宋体" w:eastAsia="宋体" w:cs="宋体"/>
          <w:b/>
          <w:bCs w:val="0"/>
          <w:color w:val="auto"/>
          <w:sz w:val="44"/>
          <w:szCs w:val="24"/>
          <w:highlight w:val="none"/>
        </w:rPr>
        <w:sectPr>
          <w:headerReference w:type="default" r:id="rId9"/>
          <w:headerReference w:type="first" r:id="rId10"/>
          <w:footerReference w:type="default" r:id="rId13"/>
          <w:footerReference w:type="first" r:id="rId14"/>
          <w:footnotePr/>
          <w:endnotePr/>
          <w:type w:val="nextPage"/>
          <w:pgSz w:w="11906" w:h="16838" w:orient="portrait"/>
          <w:pgMar w:top="1417" w:right="1304" w:bottom="1417" w:left="1304" w:header="851" w:footer="907" w:gutter="0"/>
          <w:cols w:num="1" w:sep="0" w:space="0" w:equalWidth="1"/>
          <w:docGrid w:linePitch="360"/>
          <w:titlePg/>
        </w:sectPr>
      </w:pPr>
      <w:r>
        <w:rPr>
          <w:rFonts w:hint="eastAsia" w:ascii="宋体" w:hAnsi="宋体" w:eastAsia="宋体" w:cs="宋体"/>
          <w:b/>
          <w:bCs w:val="0"/>
          <w:color w:val="auto"/>
          <w:sz w:val="44"/>
          <w:szCs w:val="24"/>
          <w:highlight w:val="none"/>
        </w:rPr>
      </w:r>
      <w:r/>
    </w:p>
    <w:p>
      <w:pPr>
        <w:ind w:firstLine="0"/>
        <w:jc w:val="center"/>
        <w:spacing w:line="240" w:lineRule="auto"/>
        <w:rPr>
          <w:rFonts w:hint="eastAsia" w:ascii="宋体" w:hAnsi="宋体" w:eastAsia="宋体" w:cs="宋体"/>
          <w:bCs/>
          <w:color w:val="auto"/>
          <w:sz w:val="36"/>
          <w:szCs w:val="36"/>
          <w:highlight w:val="none"/>
        </w:rPr>
      </w:pPr>
      <w:r>
        <w:rPr>
          <w:rFonts w:hint="eastAsia" w:ascii="宋体" w:hAnsi="宋体" w:eastAsia="宋体" w:cs="宋体"/>
          <w:b/>
          <w:bCs w:val="0"/>
          <w:color w:val="auto"/>
          <w:sz w:val="44"/>
          <w:szCs w:val="24"/>
          <w:highlight w:val="none"/>
        </w:rPr>
        <w:t xml:space="preserve">总  目  录</w:t>
      </w:r>
      <w:r/>
    </w:p>
    <w:p>
      <w:pPr>
        <w:ind w:firstLine="0"/>
        <w:jc w:val="both"/>
        <w:rPr>
          <w:rFonts w:hint="eastAsia" w:ascii="宋体" w:hAnsi="宋体" w:eastAsia="宋体" w:cs="宋体"/>
          <w:b/>
          <w:color w:val="auto"/>
          <w:sz w:val="28"/>
          <w:szCs w:val="24"/>
          <w:highlight w:val="none"/>
        </w:rPr>
      </w:pPr>
      <w:r>
        <w:rPr>
          <w:rFonts w:hint="eastAsia" w:ascii="宋体" w:hAnsi="宋体" w:eastAsia="宋体" w:cs="宋体"/>
          <w:b/>
          <w:color w:val="auto"/>
          <w:sz w:val="28"/>
          <w:szCs w:val="24"/>
          <w:highlight w:val="none"/>
        </w:rPr>
      </w:r>
      <w:r/>
    </w:p>
    <w:p>
      <w:pPr>
        <w:pStyle w:val="1118"/>
        <w:ind w:left="2160" w:hanging="1440"/>
        <w:jc w:val="both"/>
        <w:spacing w:beforeAutospacing="0" w:afterAutospacing="0" w:line="480" w:lineRule="auto"/>
        <w:tabs>
          <w:tab w:val="left" w:pos="1441"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1118"/>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招标公告…………………………………………</w:t>
      </w:r>
      <w:r>
        <w:rPr>
          <w:rFonts w:hint="eastAsia" w:ascii="宋体" w:hAnsi="宋体" w:eastAsia="宋体" w:cs="宋体"/>
          <w:color w:val="auto"/>
          <w:sz w:val="36"/>
          <w:szCs w:val="36"/>
          <w:highlight w:val="none"/>
          <w:lang w:val="en-US" w:eastAsia="zh-CN"/>
        </w:rPr>
        <w:t xml:space="preserve">2</w:t>
      </w:r>
      <w:r/>
    </w:p>
    <w:p>
      <w:pPr>
        <w:pStyle w:val="1118"/>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投标人须知………………………………………</w:t>
      </w:r>
      <w:r>
        <w:rPr>
          <w:rFonts w:hint="eastAsia" w:ascii="宋体" w:hAnsi="宋体" w:eastAsia="宋体" w:cs="宋体"/>
          <w:color w:val="auto"/>
          <w:sz w:val="36"/>
          <w:szCs w:val="36"/>
          <w:highlight w:val="none"/>
          <w:lang w:val="en-US" w:eastAsia="zh-CN"/>
        </w:rPr>
        <w:t xml:space="preserve">6</w:t>
      </w:r>
      <w:r/>
    </w:p>
    <w:p>
      <w:pPr>
        <w:pStyle w:val="1118"/>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合同条款…………………………………………</w:t>
      </w:r>
      <w:r>
        <w:rPr>
          <w:rFonts w:hint="eastAsia" w:ascii="宋体" w:hAnsi="宋体" w:eastAsia="宋体" w:cs="宋体"/>
          <w:color w:val="auto"/>
          <w:sz w:val="36"/>
          <w:szCs w:val="36"/>
          <w:highlight w:val="none"/>
          <w:lang w:val="en-US" w:eastAsia="zh-CN"/>
        </w:rPr>
        <w:t xml:space="preserve">21</w:t>
      </w:r>
      <w:r/>
    </w:p>
    <w:p>
      <w:pPr>
        <w:pStyle w:val="1118"/>
        <w:ind w:left="2160" w:hanging="1440"/>
        <w:jc w:val="both"/>
        <w:spacing w:beforeAutospacing="0" w:afterAutospacing="0" w:line="480" w:lineRule="auto"/>
        <w:tabs>
          <w:tab w:val="left" w:pos="1441" w:leader="none"/>
        </w:tabs>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rPr>
        <w:t xml:space="preserve">采购需求…………………………………………</w:t>
      </w:r>
      <w:r>
        <w:rPr>
          <w:rFonts w:hint="eastAsia" w:ascii="宋体" w:hAnsi="宋体" w:eastAsia="宋体" w:cs="宋体"/>
          <w:color w:val="auto"/>
          <w:sz w:val="36"/>
          <w:szCs w:val="36"/>
          <w:highlight w:val="none"/>
          <w:lang w:val="en-US" w:eastAsia="zh-CN"/>
        </w:rPr>
        <w:t xml:space="preserve">28</w:t>
      </w:r>
      <w:r/>
    </w:p>
    <w:p>
      <w:pPr>
        <w:pStyle w:val="1118"/>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评标方法与评标标准……………………………</w:t>
      </w:r>
      <w:r>
        <w:rPr>
          <w:rFonts w:hint="eastAsia" w:ascii="宋体" w:hAnsi="宋体" w:eastAsia="宋体" w:cs="宋体"/>
          <w:color w:val="auto"/>
          <w:sz w:val="36"/>
          <w:szCs w:val="36"/>
          <w:highlight w:val="none"/>
          <w:lang w:val="en-US" w:eastAsia="zh-CN"/>
        </w:rPr>
        <w:t xml:space="preserve">43</w:t>
      </w:r>
      <w:r/>
    </w:p>
    <w:p>
      <w:pPr>
        <w:pStyle w:val="1118"/>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投标文件格式……………………………………</w:t>
      </w:r>
      <w:r>
        <w:rPr>
          <w:rFonts w:hint="eastAsia" w:ascii="宋体" w:hAnsi="宋体" w:eastAsia="宋体" w:cs="宋体"/>
          <w:color w:val="auto"/>
          <w:sz w:val="36"/>
          <w:szCs w:val="36"/>
          <w:highlight w:val="none"/>
          <w:lang w:val="en-US" w:eastAsia="zh-CN"/>
        </w:rPr>
        <w:t xml:space="preserve">46</w:t>
      </w:r>
      <w:r/>
    </w:p>
    <w:p>
      <w:pPr>
        <w:pStyle w:val="1119"/>
        <w:ind w:firstLine="2640"/>
        <w:jc w:val="left"/>
        <w:spacing w:line="50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rPr>
        <w:br w:type="page" w:clear="all"/>
      </w:r>
      <w:r>
        <w:rPr>
          <w:rFonts w:hint="eastAsia" w:ascii="宋体" w:hAnsi="宋体" w:eastAsia="宋体" w:cs="宋体"/>
          <w:b w:val="0"/>
          <w:bCs/>
          <w:color w:val="auto"/>
          <w:highlight w:val="none"/>
        </w:rPr>
        <w:t xml:space="preserve">第一章  招标公告</w:t>
      </w:r>
      <w:r/>
    </w:p>
    <w:p>
      <w:pPr>
        <w:ind w:firstLine="480"/>
        <w:spacing w:line="480" w:lineRule="exact"/>
        <w:widowControl/>
        <w:rPr>
          <w:rFonts w:hint="eastAsia" w:ascii="宋体" w:hAnsi="宋体" w:eastAsia="宋体" w:cs="宋体"/>
          <w:color w:val="auto"/>
          <w:sz w:val="24"/>
          <w:szCs w:val="20"/>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0"/>
          <w:highlight w:val="none"/>
        </w:rPr>
        <w:t xml:space="preserve">项目概况</w:t>
      </w:r>
      <w:r/>
    </w:p>
    <w:p>
      <w:pPr>
        <w:ind w:firstLine="480"/>
        <w:spacing w:line="480" w:lineRule="exact"/>
        <w:widowControl/>
        <w:rPr>
          <w:rFonts w:hint="eastAsia" w:ascii="宋体" w:hAnsi="宋体" w:eastAsia="宋体" w:cs="宋体"/>
          <w:color w:val="auto"/>
          <w:sz w:val="24"/>
          <w:szCs w:val="20"/>
          <w:highlight w:val="none"/>
        </w:rPr>
        <w:pBdr>
          <w:top w:val="single" w:color="000000" w:sz="4" w:space="0"/>
          <w:left w:val="single" w:color="000000" w:sz="4" w:space="0"/>
          <w:bottom w:val="single" w:color="000000" w:sz="4" w:space="0"/>
          <w:right w:val="single" w:color="000000" w:sz="4" w:space="0"/>
        </w:pBdr>
      </w:pPr>
      <w:r>
        <w:rPr>
          <w:rFonts w:hint="eastAsia" w:cs="宋体"/>
          <w:color w:val="auto"/>
          <w:sz w:val="24"/>
          <w:szCs w:val="20"/>
          <w:highlight w:val="none"/>
          <w:u w:val="single"/>
          <w:lang w:eastAsia="zh-CN"/>
        </w:rPr>
        <w:t xml:space="preserve">区影剧院安全和维修项目（空调系统采购及安装）</w:t>
      </w:r>
      <w:r>
        <w:rPr>
          <w:rFonts w:hint="eastAsia" w:ascii="宋体" w:hAnsi="宋体" w:eastAsia="宋体" w:cs="宋体"/>
          <w:color w:val="auto"/>
          <w:sz w:val="24"/>
          <w:szCs w:val="20"/>
          <w:highlight w:val="none"/>
        </w:rPr>
        <w:t xml:space="preserve">招标项目的潜在</w:t>
      </w:r>
      <w:bookmarkStart w:id="0" w:name="_Toc35393798"/>
      <w:r/>
      <w:bookmarkStart w:id="1" w:name="_Toc28359012"/>
      <w:r/>
      <w:bookmarkStart w:id="2" w:name="_Toc28359089"/>
      <w:r/>
      <w:bookmarkStart w:id="3" w:name="_Toc35393629"/>
      <w:r>
        <w:rPr>
          <w:rFonts w:hint="eastAsia" w:ascii="宋体" w:hAnsi="宋体" w:eastAsia="宋体" w:cs="宋体"/>
          <w:color w:val="auto"/>
          <w:sz w:val="24"/>
          <w:szCs w:val="20"/>
          <w:highlight w:val="none"/>
        </w:rPr>
        <w:t xml:space="preserve">投标人可在</w:t>
      </w:r>
      <w:r>
        <w:rPr>
          <w:rFonts w:hint="eastAsia" w:ascii="宋体" w:hAnsi="宋体" w:eastAsia="宋体" w:cs="宋体"/>
          <w:color w:val="auto"/>
          <w:sz w:val="24"/>
          <w:highlight w:val="none"/>
        </w:rPr>
        <w:t xml:space="preserve">“苏采云”系统内免费下载（投标人必须在苏采云系统中获取采购文件，方能参与政府采购项目）</w:t>
      </w:r>
      <w:r>
        <w:rPr>
          <w:rFonts w:hint="eastAsia" w:ascii="宋体" w:hAnsi="宋体" w:eastAsia="宋体" w:cs="宋体"/>
          <w:color w:val="auto"/>
          <w:sz w:val="24"/>
          <w:szCs w:val="20"/>
          <w:highlight w:val="none"/>
        </w:rPr>
        <w:t xml:space="preserve">获取招标文件，并于</w:t>
      </w:r>
      <w:r>
        <w:rPr>
          <w:rFonts w:hint="eastAsia" w:cs="宋体"/>
          <w:color w:val="auto"/>
          <w:sz w:val="24"/>
          <w:szCs w:val="20"/>
          <w:highlight w:val="none"/>
          <w:u w:val="single"/>
          <w:lang w:eastAsia="zh-CN"/>
        </w:rPr>
        <w:t xml:space="preserve">2025年</w:t>
      </w:r>
      <w:r>
        <w:rPr>
          <w:rFonts w:hint="eastAsia" w:cs="宋体"/>
          <w:color w:val="auto"/>
          <w:sz w:val="24"/>
          <w:szCs w:val="20"/>
          <w:highlight w:val="none"/>
          <w:u w:val="single"/>
          <w:lang w:val="en-US" w:eastAsia="zh-CN"/>
        </w:rPr>
        <w:t xml:space="preserve">12</w:t>
      </w:r>
      <w:r>
        <w:rPr>
          <w:rFonts w:hint="eastAsia" w:cs="宋体"/>
          <w:color w:val="auto"/>
          <w:sz w:val="24"/>
          <w:szCs w:val="20"/>
          <w:highlight w:val="none"/>
          <w:u w:val="single"/>
          <w:lang w:eastAsia="zh-CN"/>
        </w:rPr>
        <w:t xml:space="preserve">月</w:t>
      </w:r>
      <w:r>
        <w:rPr>
          <w:rFonts w:hint="eastAsia" w:cs="宋体"/>
          <w:color w:val="auto"/>
          <w:sz w:val="24"/>
          <w:szCs w:val="20"/>
          <w:highlight w:val="none"/>
          <w:u w:val="single"/>
          <w:lang w:val="en-US" w:eastAsia="zh-CN"/>
        </w:rPr>
        <w:t xml:space="preserve">15</w:t>
      </w:r>
      <w:r>
        <w:rPr>
          <w:rFonts w:hint="eastAsia" w:cs="宋体"/>
          <w:color w:val="auto"/>
          <w:sz w:val="24"/>
          <w:szCs w:val="20"/>
          <w:highlight w:val="none"/>
          <w:u w:val="single"/>
          <w:lang w:eastAsia="zh-CN"/>
        </w:rPr>
        <w:t xml:space="preserve">日</w:t>
      </w:r>
      <w:r>
        <w:rPr>
          <w:rFonts w:hint="eastAsia" w:cs="宋体"/>
          <w:color w:val="auto"/>
          <w:sz w:val="24"/>
          <w:szCs w:val="20"/>
          <w:highlight w:val="none"/>
          <w:u w:val="single"/>
          <w:lang w:val="en-US" w:eastAsia="zh-CN"/>
        </w:rPr>
        <w:t xml:space="preserve">15</w:t>
      </w:r>
      <w:r>
        <w:rPr>
          <w:rFonts w:hint="eastAsia" w:ascii="宋体" w:hAnsi="宋体" w:eastAsia="宋体" w:cs="宋体"/>
          <w:color w:val="auto"/>
          <w:sz w:val="24"/>
          <w:szCs w:val="20"/>
          <w:highlight w:val="none"/>
          <w:u w:val="single"/>
        </w:rPr>
        <w:t xml:space="preserve">点</w:t>
      </w:r>
      <w:r>
        <w:rPr>
          <w:rFonts w:hint="eastAsia" w:ascii="宋体" w:hAnsi="宋体" w:eastAsia="宋体" w:cs="宋体"/>
          <w:color w:val="auto"/>
          <w:sz w:val="24"/>
          <w:szCs w:val="20"/>
          <w:highlight w:val="none"/>
          <w:u w:val="single"/>
          <w:lang w:val="en-US" w:eastAsia="zh-CN"/>
        </w:rPr>
        <w:t xml:space="preserve">00</w:t>
      </w:r>
      <w:r>
        <w:rPr>
          <w:rFonts w:hint="eastAsia" w:ascii="宋体" w:hAnsi="宋体" w:eastAsia="宋体" w:cs="宋体"/>
          <w:color w:val="auto"/>
          <w:sz w:val="24"/>
          <w:szCs w:val="20"/>
          <w:highlight w:val="none"/>
          <w:u w:val="single"/>
        </w:rPr>
        <w:t xml:space="preserve">分</w:t>
      </w:r>
      <w:r>
        <w:rPr>
          <w:rFonts w:hint="eastAsia" w:ascii="宋体" w:hAnsi="宋体" w:eastAsia="宋体" w:cs="宋体"/>
          <w:color w:val="auto"/>
          <w:sz w:val="24"/>
          <w:szCs w:val="20"/>
          <w:highlight w:val="none"/>
        </w:rPr>
        <w:t xml:space="preserve">（北京时间）前提交投标文件。</w:t>
      </w:r>
      <w:bookmarkEnd w:id="0"/>
      <w:r/>
      <w:bookmarkEnd w:id="1"/>
      <w:r/>
      <w:bookmarkEnd w:id="2"/>
      <w:r/>
      <w:bookmarkEnd w:id="3"/>
      <w:r/>
      <w:r/>
    </w:p>
    <w:p>
      <w:pPr>
        <w:ind w:firstLine="482"/>
        <w:pageBreakBefore w:val="0"/>
        <w:spacing w:line="4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一、项目基本情况</w:t>
      </w:r>
      <w:r/>
    </w:p>
    <w:p>
      <w:pPr>
        <w:ind w:firstLine="480"/>
        <w:pageBreakBefore w:val="0"/>
        <w:spacing w:line="4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1.项目编号</w:t>
      </w:r>
      <w:r>
        <w:rPr>
          <w:rFonts w:hint="eastAsia" w:ascii="宋体" w:hAnsi="宋体" w:eastAsia="宋体" w:cs="宋体"/>
          <w:color w:val="auto"/>
          <w:sz w:val="24"/>
          <w:szCs w:val="24"/>
          <w:highlight w:val="none"/>
        </w:rPr>
        <w:t xml:space="preserve">：JSZC-320904-YCHY-G2025-001</w:t>
      </w:r>
      <w:r>
        <w:rPr>
          <w:rFonts w:hint="eastAsia" w:cs="宋体"/>
          <w:color w:val="auto"/>
          <w:sz w:val="24"/>
          <w:szCs w:val="24"/>
          <w:highlight w:val="none"/>
          <w:lang w:val="en-US" w:eastAsia="zh-CN"/>
        </w:rPr>
        <w:t xml:space="preserve">6</w:t>
      </w:r>
      <w:r/>
    </w:p>
    <w:p>
      <w:pPr>
        <w:ind w:firstLine="480"/>
        <w:pageBreakBefore w:val="0"/>
        <w:spacing w:line="40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2.项目名称：</w:t>
      </w:r>
      <w:r>
        <w:rPr>
          <w:rFonts w:hint="eastAsia" w:cs="宋体"/>
          <w:color w:val="auto"/>
          <w:sz w:val="24"/>
          <w:szCs w:val="20"/>
          <w:highlight w:val="none"/>
          <w:lang w:eastAsia="zh-CN"/>
        </w:rPr>
        <w:t xml:space="preserve">区影剧院安全和维修项目（空调系统采购及安装）</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3.采购方式：</w:t>
      </w:r>
      <w:bookmarkStart w:id="4" w:name="OLE_LINK1"/>
      <w:r>
        <w:rPr>
          <w:rFonts w:hint="eastAsia" w:ascii="宋体" w:hAnsi="宋体" w:eastAsia="宋体" w:cs="宋体"/>
          <w:color w:val="auto"/>
          <w:sz w:val="24"/>
          <w:szCs w:val="20"/>
          <w:highlight w:val="none"/>
        </w:rPr>
        <w:t xml:space="preserve">公开招标</w:t>
      </w:r>
      <w:bookmarkEnd w:id="4"/>
      <w:r/>
      <w:r/>
    </w:p>
    <w:p>
      <w:pPr>
        <w:ind w:firstLine="480"/>
        <w:pageBreakBefore w:val="0"/>
        <w:spacing w:line="40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4.预算金额：</w:t>
      </w:r>
      <w:r>
        <w:rPr>
          <w:rFonts w:hint="eastAsia" w:cs="宋体"/>
          <w:color w:val="auto"/>
          <w:sz w:val="24"/>
          <w:szCs w:val="20"/>
          <w:highlight w:val="none"/>
          <w:lang w:val="en-US" w:eastAsia="zh-CN"/>
        </w:rPr>
        <w:t xml:space="preserve">106万元</w:t>
      </w:r>
      <w:r/>
    </w:p>
    <w:p>
      <w:pPr>
        <w:ind w:firstLine="480"/>
        <w:pageBreakBefore w:val="0"/>
        <w:spacing w:line="40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5.最高限价：</w:t>
      </w:r>
      <w:r>
        <w:rPr>
          <w:rFonts w:hint="eastAsia" w:cs="宋体"/>
          <w:color w:val="auto"/>
          <w:sz w:val="24"/>
          <w:szCs w:val="20"/>
          <w:highlight w:val="none"/>
          <w:lang w:val="en-US" w:eastAsia="zh-CN"/>
        </w:rPr>
        <w:t xml:space="preserve">106万元</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6.采购需求：</w:t>
      </w:r>
      <w:r>
        <w:rPr>
          <w:rFonts w:hint="eastAsia" w:cs="宋体"/>
          <w:color w:val="auto"/>
          <w:sz w:val="24"/>
          <w:szCs w:val="20"/>
          <w:highlight w:val="none"/>
          <w:lang w:eastAsia="zh-CN"/>
        </w:rPr>
        <w:t xml:space="preserve">盐城市大丰区文化广电和旅游局</w:t>
      </w:r>
      <w:r>
        <w:rPr>
          <w:rFonts w:hint="eastAsia" w:ascii="宋体" w:hAnsi="宋体" w:eastAsia="宋体" w:cs="宋体"/>
          <w:color w:val="auto"/>
          <w:sz w:val="24"/>
          <w:szCs w:val="20"/>
          <w:highlight w:val="none"/>
          <w:lang w:eastAsia="zh-CN"/>
        </w:rPr>
        <w:t xml:space="preserve">为满足区影剧院</w:t>
      </w:r>
      <w:r>
        <w:rPr>
          <w:rFonts w:hint="eastAsia" w:cs="宋体"/>
          <w:color w:val="auto"/>
          <w:sz w:val="24"/>
          <w:szCs w:val="20"/>
          <w:highlight w:val="none"/>
          <w:lang w:val="en-US" w:eastAsia="zh-CN"/>
        </w:rPr>
        <w:t xml:space="preserve">配套设施</w:t>
      </w:r>
      <w:r>
        <w:rPr>
          <w:rFonts w:hint="eastAsia" w:ascii="宋体" w:hAnsi="宋体" w:eastAsia="宋体" w:cs="宋体"/>
          <w:color w:val="auto"/>
          <w:sz w:val="24"/>
          <w:szCs w:val="20"/>
          <w:highlight w:val="none"/>
          <w:lang w:eastAsia="zh-CN"/>
        </w:rPr>
        <w:t xml:space="preserve">需要，</w:t>
      </w:r>
      <w:r>
        <w:rPr>
          <w:rFonts w:hint="eastAsia" w:cs="宋体"/>
          <w:color w:val="auto"/>
          <w:sz w:val="24"/>
          <w:szCs w:val="20"/>
          <w:highlight w:val="none"/>
          <w:lang w:eastAsia="zh-CN"/>
        </w:rPr>
        <w:t xml:space="preserve">需采购安装中央空调以及相配套管道、配件等。</w:t>
      </w:r>
      <w:r>
        <w:rPr>
          <w:rFonts w:hint="eastAsia" w:ascii="宋体" w:hAnsi="宋体" w:eastAsia="宋体" w:cs="宋体"/>
          <w:color w:val="auto"/>
          <w:sz w:val="24"/>
          <w:szCs w:val="20"/>
          <w:highlight w:val="none"/>
          <w:lang w:eastAsia="zh-CN"/>
        </w:rPr>
        <w:t xml:space="preserve">具体内容详见招标文件第四章</w:t>
      </w:r>
      <w:r>
        <w:rPr>
          <w:rFonts w:hint="eastAsia" w:ascii="宋体" w:hAnsi="宋体" w:eastAsia="宋体" w:cs="宋体"/>
          <w:color w:val="auto"/>
          <w:sz w:val="24"/>
          <w:szCs w:val="20"/>
          <w:highlight w:val="none"/>
        </w:rPr>
        <w:t xml:space="preserve">。</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7.合同履行期限</w:t>
      </w:r>
      <w:bookmarkStart w:id="5" w:name="_Toc28359013"/>
      <w:r/>
      <w:bookmarkStart w:id="6" w:name="_Toc28359090"/>
      <w:r/>
      <w:bookmarkStart w:id="7" w:name="_Toc35393799"/>
      <w:r/>
      <w:bookmarkStart w:id="8" w:name="_Toc35393630"/>
      <w:r>
        <w:rPr>
          <w:rFonts w:hint="eastAsia" w:ascii="宋体" w:hAnsi="宋体" w:eastAsia="宋体" w:cs="宋体"/>
          <w:color w:val="auto"/>
          <w:sz w:val="24"/>
          <w:szCs w:val="20"/>
          <w:highlight w:val="none"/>
          <w:lang w:eastAsia="zh-CN"/>
        </w:rPr>
        <w:t xml:space="preserve">（供货期）：合同签订后</w:t>
      </w:r>
      <w:r>
        <w:rPr>
          <w:rFonts w:hint="eastAsia" w:cs="宋体"/>
          <w:color w:val="auto"/>
          <w:sz w:val="24"/>
          <w:szCs w:val="20"/>
          <w:highlight w:val="none"/>
          <w:lang w:val="en-US" w:eastAsia="zh-CN"/>
        </w:rPr>
        <w:t xml:space="preserve">7</w:t>
      </w:r>
      <w:r>
        <w:rPr>
          <w:rFonts w:hint="eastAsia" w:ascii="宋体" w:hAnsi="宋体" w:eastAsia="宋体" w:cs="宋体"/>
          <w:color w:val="auto"/>
          <w:sz w:val="24"/>
          <w:szCs w:val="20"/>
          <w:highlight w:val="none"/>
          <w:lang w:eastAsia="zh-CN"/>
        </w:rPr>
        <w:t xml:space="preserve">日历天内完成设备供货及安装调试，并通过验收</w:t>
      </w:r>
      <w:r>
        <w:rPr>
          <w:rFonts w:hint="eastAsia" w:cs="宋体"/>
          <w:color w:val="auto"/>
          <w:sz w:val="24"/>
          <w:szCs w:val="20"/>
          <w:highlight w:val="none"/>
          <w:lang w:eastAsia="zh-CN"/>
        </w:rPr>
        <w:t xml:space="preserve">（须在2025年12月23日前完成采购及安装）</w:t>
      </w:r>
      <w:r>
        <w:rPr>
          <w:rFonts w:hint="eastAsia" w:ascii="宋体" w:hAnsi="宋体" w:eastAsia="宋体" w:cs="宋体"/>
          <w:color w:val="auto"/>
          <w:sz w:val="24"/>
          <w:szCs w:val="20"/>
          <w:highlight w:val="none"/>
          <w:lang w:eastAsia="zh-CN"/>
        </w:rPr>
        <w:t xml:space="preserve">。</w:t>
      </w:r>
      <w:r/>
    </w:p>
    <w:p>
      <w:pPr>
        <w:ind w:firstLine="480"/>
        <w:pageBreakBefore w:val="0"/>
        <w:spacing w:line="400" w:lineRule="exact"/>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8.</w:t>
      </w:r>
      <w:bookmarkEnd w:id="5"/>
      <w:r/>
      <w:bookmarkEnd w:id="6"/>
      <w:r/>
      <w:bookmarkEnd w:id="7"/>
      <w:r/>
      <w:bookmarkEnd w:id="8"/>
      <w:r>
        <w:rPr>
          <w:rFonts w:hint="eastAsia" w:cs="宋体"/>
          <w:color w:val="auto"/>
          <w:sz w:val="24"/>
          <w:szCs w:val="20"/>
          <w:highlight w:val="none"/>
          <w:lang w:val="en-US" w:eastAsia="zh-CN"/>
        </w:rPr>
        <w:t xml:space="preserve">质保期限：整机质保3年。</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cs="宋体"/>
          <w:color w:val="auto"/>
          <w:sz w:val="24"/>
          <w:szCs w:val="20"/>
          <w:highlight w:val="none"/>
          <w:lang w:val="en-US" w:eastAsia="zh-CN"/>
        </w:rPr>
        <w:t xml:space="preserve">9.</w:t>
      </w:r>
      <w:r>
        <w:rPr>
          <w:rFonts w:hint="eastAsia" w:ascii="宋体" w:hAnsi="宋体" w:eastAsia="宋体" w:cs="宋体"/>
          <w:color w:val="auto"/>
          <w:sz w:val="24"/>
          <w:szCs w:val="20"/>
          <w:highlight w:val="none"/>
        </w:rPr>
        <w:t xml:space="preserve">本项目（是/否）接受联合体投标：否</w:t>
      </w:r>
      <w:r/>
    </w:p>
    <w:p>
      <w:pPr>
        <w:ind w:firstLine="482"/>
        <w:pageBreakBefore w:val="0"/>
        <w:spacing w:line="400" w:lineRule="exact"/>
        <w:widowControl/>
        <w:rPr>
          <w:rFonts w:hint="eastAsia" w:ascii="宋体" w:hAnsi="宋体" w:eastAsia="宋体" w:cs="宋体"/>
          <w:b/>
          <w:bCs/>
          <w:color w:val="auto"/>
          <w:sz w:val="24"/>
          <w:szCs w:val="20"/>
          <w:highlight w:val="none"/>
        </w:rPr>
      </w:pPr>
      <w:r/>
      <w:bookmarkStart w:id="9" w:name="_Toc28359095"/>
      <w:r/>
      <w:bookmarkStart w:id="10" w:name="_Toc35393636"/>
      <w:r/>
      <w:bookmarkStart w:id="11" w:name="_Toc35393805"/>
      <w:r/>
      <w:bookmarkStart w:id="12" w:name="_Toc28359018"/>
      <w:r>
        <w:rPr>
          <w:rFonts w:hint="eastAsia" w:ascii="宋体" w:hAnsi="宋体" w:eastAsia="宋体" w:cs="宋体"/>
          <w:b/>
          <w:bCs/>
          <w:color w:val="auto"/>
          <w:sz w:val="24"/>
          <w:szCs w:val="20"/>
          <w:highlight w:val="none"/>
        </w:rPr>
        <w:t xml:space="preserve">二、申请人的资格要求</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1.满足《中华人民共和国政府采购法》第二十二条规定，并提供下列材料：</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1.1法人或者其他组织的营业执照等证明文件，自然人的身份证明；</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1.2上一年度的财务状况报表（成立不满一年无需提供）；</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1.3具备履行合同所必需的设备和专业技术能力的书面声明；</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1.5参加政府采购活动前3年内在经营活动中没有重大违法记录的书面声明。</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1.6法律、行政法规规定的其他条件。</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1.8单位负责人为同一人或者存在直接控股、管理关系的不同供应商，不得参加同一合同项下的政府采购活动。</w:t>
      </w:r>
      <w:r/>
    </w:p>
    <w:p>
      <w:pPr>
        <w:ind w:left="0" w:right="0" w:firstLine="480"/>
        <w:jc w:val="both"/>
        <w:spacing w:before="0" w:after="0" w:line="499" w:lineRule="atLeast"/>
        <w:rPr>
          <w:rFonts w:hint="eastAsia" w:ascii="宋体" w:hAnsi="宋体" w:eastAsia="宋体" w:cs="宋体"/>
          <w:color w:val="auto"/>
          <w:sz w:val="24"/>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2.落实政府采购政策需满足的资格要求：</w:t>
      </w:r>
      <w:r>
        <w:rPr>
          <w:rFonts w:hint="eastAsia" w:cs="宋体"/>
          <w:color w:val="000000"/>
          <w:sz w:val="24"/>
          <w:lang w:val="en-US" w:eastAsia="zh-CN"/>
        </w:rPr>
        <w:t xml:space="preserve">无</w:t>
      </w:r>
      <w:r>
        <w:rPr>
          <w:rFonts w:hint="eastAsia" w:ascii="宋体" w:hAnsi="宋体" w:eastAsia="宋体" w:cs="宋体"/>
          <w:color w:val="000000"/>
          <w:sz w:val="24"/>
        </w:rPr>
        <w:t xml:space="preserve">。</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3.本项目的特定资格要求：</w:t>
      </w:r>
      <w:r>
        <w:rPr>
          <w:rFonts w:hint="eastAsia" w:ascii="宋体" w:hAnsi="宋体" w:eastAsia="宋体" w:cs="宋体"/>
          <w:b/>
          <w:bCs/>
          <w:color w:val="auto"/>
          <w:sz w:val="24"/>
          <w:szCs w:val="20"/>
          <w:highlight w:val="none"/>
          <w:lang w:val="en-US" w:eastAsia="zh-CN"/>
        </w:rPr>
        <w:t xml:space="preserve">投标人提供有效期内的建筑机电安装工程专业承包资质三级及以上或机电工程施工总承包资质三级及以上扫描件加盖投标人公章，提供有效的安全生产许可证扫描件加盖投标人公章。</w:t>
      </w:r>
      <w:r/>
    </w:p>
    <w:p>
      <w:pPr>
        <w:ind w:firstLine="482"/>
        <w:pageBreakBefore w:val="0"/>
        <w:spacing w:line="4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三、获取招标文件</w:t>
      </w:r>
      <w:r/>
    </w:p>
    <w:p>
      <w:pPr>
        <w:ind w:firstLine="480"/>
        <w:pageBreakBefore w:val="0"/>
        <w:spacing w:line="400" w:lineRule="exact"/>
        <w:widowControl/>
        <w:rPr>
          <w:rFonts w:hint="eastAsia" w:ascii="宋体" w:hAnsi="宋体" w:eastAsia="宋体" w:cs="宋体"/>
          <w:color w:val="auto"/>
          <w:sz w:val="24"/>
          <w:szCs w:val="20"/>
          <w:highlight w:val="none"/>
          <w:lang w:val="en-US" w:eastAsia="zh-CN"/>
        </w:rPr>
      </w:pPr>
      <w:r/>
      <w:bookmarkStart w:id="13" w:name="_Toc35393624"/>
      <w:r/>
      <w:bookmarkStart w:id="14" w:name="_Toc38985266"/>
      <w:r/>
      <w:bookmarkStart w:id="15" w:name="_Toc35393793"/>
      <w:r/>
      <w:bookmarkStart w:id="16" w:name="_Toc28359005"/>
      <w:r/>
      <w:bookmarkStart w:id="17" w:name="_Toc28359082"/>
      <w:r/>
      <w:bookmarkStart w:id="18" w:name="_Toc28359007"/>
      <w:r/>
      <w:bookmarkStart w:id="19" w:name="_Toc35393625"/>
      <w:r/>
      <w:bookmarkStart w:id="20" w:name="_Toc38985267"/>
      <w:r/>
      <w:bookmarkStart w:id="21" w:name="_Toc35393794"/>
      <w:r/>
      <w:bookmarkStart w:id="22" w:name="_Toc28359084"/>
      <w:r>
        <w:rPr>
          <w:rFonts w:hint="eastAsia" w:ascii="宋体" w:hAnsi="宋体" w:eastAsia="宋体" w:cs="宋体"/>
          <w:color w:val="auto"/>
          <w:sz w:val="24"/>
          <w:szCs w:val="20"/>
          <w:highlight w:val="none"/>
          <w:lang w:val="en-US" w:eastAsia="zh-CN"/>
        </w:rPr>
        <w:t xml:space="preserve">1.时间：</w:t>
      </w:r>
      <w:bookmarkEnd w:id="13"/>
      <w:r/>
      <w:bookmarkEnd w:id="14"/>
      <w:r/>
      <w:bookmarkEnd w:id="15"/>
      <w:r/>
      <w:bookmarkEnd w:id="16"/>
      <w:r/>
      <w:bookmarkEnd w:id="17"/>
      <w:r>
        <w:rPr>
          <w:rFonts w:hint="eastAsia" w:ascii="宋体" w:hAnsi="宋体" w:eastAsia="宋体" w:cs="宋体"/>
          <w:color w:val="auto"/>
          <w:sz w:val="24"/>
          <w:szCs w:val="20"/>
          <w:highlight w:val="none"/>
          <w:lang w:val="en-US" w:eastAsia="zh-CN"/>
        </w:rPr>
        <w:t xml:space="preserve">自招标文件公告发布之日起5个工作日</w:t>
      </w:r>
      <w:r/>
    </w:p>
    <w:p>
      <w:pPr>
        <w:ind w:firstLine="480"/>
        <w:pageBreakBefore w:val="0"/>
        <w:spacing w:line="4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2.地点：“苏采云”系统内免费下载（投标人必须在苏采云系统中获取采购文件，方能参与政府采购项目）</w:t>
      </w:r>
      <w:r/>
    </w:p>
    <w:p>
      <w:pPr>
        <w:ind w:firstLine="480"/>
        <w:pageBreakBefore w:val="0"/>
        <w:spacing w:line="40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rPr>
        <w:t xml:space="preserve">3.方式：本项目采用网上注册登记方式，具体详见本公告其他补充事宜。</w:t>
      </w:r>
      <w:r>
        <w:rPr>
          <w:rFonts w:hint="eastAsia" w:ascii="宋体" w:hAnsi="宋体" w:eastAsia="宋体" w:cs="宋体"/>
          <w:color w:val="auto"/>
          <w:sz w:val="24"/>
          <w:szCs w:val="20"/>
          <w:highlight w:val="none"/>
          <w:lang w:val="en-US" w:eastAsia="zh-CN" w:bidi="ar-SA"/>
        </w:rPr>
        <w:t xml:space="preserve"> </w:t>
      </w:r>
      <w:r/>
    </w:p>
    <w:p>
      <w:pPr>
        <w:ind w:firstLine="48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pStyle w:val="1118"/>
        <w:ind w:firstLine="482"/>
        <w:jc w:val="both"/>
        <w:keepLines/>
        <w:keepNext/>
        <w:pageBreakBefore w:val="0"/>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四、提交投标文件截止时间、开标时间和地点</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1.时间：</w:t>
      </w:r>
      <w:r>
        <w:rPr>
          <w:rFonts w:hint="eastAsia" w:cs="宋体"/>
          <w:color w:val="auto"/>
          <w:sz w:val="24"/>
          <w:szCs w:val="20"/>
          <w:highlight w:val="none"/>
          <w:lang w:eastAsia="zh-CN"/>
        </w:rPr>
        <w:t xml:space="preserve">2025年</w:t>
      </w:r>
      <w:r>
        <w:rPr>
          <w:rFonts w:hint="eastAsia" w:cs="宋体"/>
          <w:color w:val="auto"/>
          <w:sz w:val="24"/>
          <w:szCs w:val="20"/>
          <w:highlight w:val="none"/>
          <w:lang w:val="en-US" w:eastAsia="zh-CN"/>
        </w:rPr>
        <w:t xml:space="preserve">12</w:t>
      </w:r>
      <w:r>
        <w:rPr>
          <w:rFonts w:hint="eastAsia" w:cs="宋体"/>
          <w:color w:val="auto"/>
          <w:sz w:val="24"/>
          <w:szCs w:val="20"/>
          <w:highlight w:val="none"/>
          <w:lang w:eastAsia="zh-CN"/>
        </w:rPr>
        <w:t xml:space="preserve">月</w:t>
      </w:r>
      <w:r>
        <w:rPr>
          <w:rFonts w:hint="eastAsia" w:cs="宋体"/>
          <w:color w:val="auto"/>
          <w:sz w:val="24"/>
          <w:szCs w:val="20"/>
          <w:highlight w:val="none"/>
          <w:lang w:val="en-US" w:eastAsia="zh-CN"/>
        </w:rPr>
        <w:t xml:space="preserve">15</w:t>
      </w:r>
      <w:r>
        <w:rPr>
          <w:rFonts w:hint="eastAsia" w:cs="宋体"/>
          <w:color w:val="auto"/>
          <w:sz w:val="24"/>
          <w:szCs w:val="20"/>
          <w:highlight w:val="none"/>
          <w:lang w:eastAsia="zh-CN"/>
        </w:rPr>
        <w:t xml:space="preserve">日</w:t>
      </w:r>
      <w:r>
        <w:rPr>
          <w:rFonts w:hint="eastAsia" w:cs="宋体"/>
          <w:color w:val="auto"/>
          <w:sz w:val="24"/>
          <w:szCs w:val="20"/>
          <w:highlight w:val="none"/>
          <w:lang w:val="en-US" w:eastAsia="zh-CN"/>
        </w:rPr>
        <w:t xml:space="preserve">15</w:t>
      </w:r>
      <w:r>
        <w:rPr>
          <w:rFonts w:hint="eastAsia" w:ascii="宋体" w:hAnsi="宋体" w:eastAsia="宋体" w:cs="宋体"/>
          <w:color w:val="auto"/>
          <w:sz w:val="24"/>
          <w:szCs w:val="20"/>
          <w:highlight w:val="none"/>
        </w:rPr>
        <w:t xml:space="preserve">点00分（北京时间）</w:t>
      </w:r>
      <w:r/>
    </w:p>
    <w:p>
      <w:pPr>
        <w:pStyle w:val="1118"/>
        <w:ind w:firstLine="480"/>
        <w:jc w:val="both"/>
        <w:pageBreakBefore w:val="0"/>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2.地点：苏采云“不见面”开标大厅</w:t>
      </w:r>
      <w:r/>
    </w:p>
    <w:p>
      <w:pPr>
        <w:ind w:firstLine="482"/>
        <w:pageBreakBefore w:val="0"/>
        <w:spacing w:line="4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五、公告期限</w:t>
      </w:r>
      <w:bookmarkEnd w:id="18"/>
      <w:r/>
      <w:bookmarkEnd w:id="19"/>
      <w:r/>
      <w:bookmarkEnd w:id="20"/>
      <w:r/>
      <w:bookmarkEnd w:id="21"/>
      <w:r/>
      <w:bookmarkEnd w:id="22"/>
      <w:r/>
      <w:r/>
    </w:p>
    <w:p>
      <w:pPr>
        <w:ind w:firstLine="480"/>
        <w:pageBreakBefore w:val="0"/>
        <w:spacing w:line="400" w:lineRule="exact"/>
        <w:widowControl/>
        <w:rPr>
          <w:rFonts w:hint="eastAsia" w:ascii="宋体" w:hAnsi="宋体" w:eastAsia="宋体" w:cs="宋体"/>
          <w:color w:val="auto"/>
          <w:sz w:val="24"/>
          <w:szCs w:val="20"/>
          <w:highlight w:val="none"/>
        </w:rPr>
      </w:pPr>
      <w:r/>
      <w:bookmarkStart w:id="23" w:name="_Toc35393626"/>
      <w:r/>
      <w:bookmarkStart w:id="24" w:name="_Toc35393795"/>
      <w:r/>
      <w:bookmarkStart w:id="25" w:name="_Toc38985268"/>
      <w:r>
        <w:rPr>
          <w:rFonts w:hint="eastAsia" w:ascii="宋体" w:hAnsi="宋体" w:eastAsia="宋体" w:cs="宋体"/>
          <w:color w:val="auto"/>
          <w:sz w:val="24"/>
          <w:szCs w:val="20"/>
          <w:highlight w:val="none"/>
        </w:rPr>
        <w:t xml:space="preserve">自本公告发布之日起5个工作日。</w:t>
      </w:r>
      <w:bookmarkEnd w:id="23"/>
      <w:r/>
      <w:bookmarkEnd w:id="24"/>
      <w:r/>
      <w:bookmarkEnd w:id="25"/>
      <w:r/>
      <w:r/>
    </w:p>
    <w:p>
      <w:pPr>
        <w:ind w:firstLine="482"/>
        <w:pageBreakBefore w:val="0"/>
        <w:spacing w:line="4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六、其他补充事宜</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2.潜在供应商访问电子招标响应交易平台的网络地址和方法： </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 潜在投标人访问“苏采云”系统方法：江苏省政府采购网首页-“苏采云”链接。 </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 采购文件（后缀名为“.kedt”）、供应商操作手册及政府采购客户端 工具可通过“苏采云”系统相应链接进行下载。 </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 采购代理机构将数据电文形式的采购文件加载至“苏采云”系统，供潜在供应商下载或者查阅。 </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 请潜在投标单位提前安装相应的控件（详见《“苏采云”系统供应商操作手册》）并使用谷歌浏览器登录“苏采云”系统参与不见面开评标。 </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如潜在投标人未按上述要求操作，将自行承担所产生的风险。</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3.有关本次招标的事项若存在变动或修改，敬请及时关注盐城市政府采购中心在“中国政府采购网”、“江苏政府采购网”、“盐城市政府采购网”发布的更正公告。</w:t>
      </w:r>
      <w:r/>
    </w:p>
    <w:p>
      <w:pPr>
        <w:ind w:firstLine="48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4.本次招标不收取投标保证金，不收取质量保证金。</w:t>
      </w:r>
      <w:r/>
    </w:p>
    <w:p>
      <w:pPr>
        <w:ind w:firstLine="482"/>
        <w:spacing w:line="48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七、</w:t>
      </w:r>
      <w:bookmarkEnd w:id="9"/>
      <w:r/>
      <w:bookmarkEnd w:id="10"/>
      <w:r/>
      <w:bookmarkEnd w:id="11"/>
      <w:r/>
      <w:bookmarkEnd w:id="12"/>
      <w:r>
        <w:rPr>
          <w:rFonts w:hint="eastAsia" w:ascii="宋体" w:hAnsi="宋体" w:eastAsia="宋体" w:cs="宋体"/>
          <w:b/>
          <w:bCs/>
          <w:color w:val="auto"/>
          <w:sz w:val="24"/>
          <w:szCs w:val="20"/>
          <w:highlight w:val="none"/>
        </w:rPr>
        <w:t xml:space="preserve">对本次招标提出询问，请按以下方式联系。</w:t>
      </w:r>
      <w:r/>
    </w:p>
    <w:p>
      <w:pPr>
        <w:ind w:firstLine="482"/>
        <w:spacing w:line="480" w:lineRule="exact"/>
        <w:widowControl/>
        <w:rPr>
          <w:rFonts w:hint="eastAsia" w:ascii="宋体" w:hAnsi="宋体" w:eastAsia="宋体" w:cs="宋体"/>
          <w:b/>
          <w:bCs/>
          <w:color w:val="auto"/>
          <w:sz w:val="24"/>
          <w:szCs w:val="20"/>
          <w:highlight w:val="none"/>
        </w:rPr>
      </w:pPr>
      <w:r/>
      <w:bookmarkStart w:id="26" w:name="_Toc61149549"/>
      <w:r/>
      <w:bookmarkStart w:id="27" w:name="_Toc513029209"/>
      <w:r/>
      <w:bookmarkStart w:id="28" w:name="_Toc14577347"/>
      <w:r>
        <w:rPr>
          <w:rFonts w:hint="eastAsia" w:ascii="宋体" w:hAnsi="宋体" w:eastAsia="宋体" w:cs="宋体"/>
          <w:b/>
          <w:bCs/>
          <w:color w:val="auto"/>
          <w:sz w:val="24"/>
          <w:szCs w:val="20"/>
          <w:highlight w:val="none"/>
        </w:rPr>
        <w:t xml:space="preserve">1.采购人信息</w:t>
      </w:r>
      <w:r/>
    </w:p>
    <w:p>
      <w:pPr>
        <w:ind w:firstLine="482"/>
        <w:spacing w:line="480" w:lineRule="exact"/>
        <w:widowControl/>
        <w:rPr>
          <w:rFonts w:hint="eastAsia" w:ascii="宋体" w:hAnsi="宋体" w:eastAsia="宋体" w:cs="宋体"/>
          <w:b w:val="0"/>
          <w:bCs w:val="0"/>
          <w:color w:val="auto"/>
          <w:sz w:val="24"/>
          <w:szCs w:val="20"/>
          <w:highlight w:val="none"/>
          <w:lang w:eastAsia="zh-CN"/>
        </w:rPr>
      </w:pPr>
      <w:r/>
      <w:bookmarkStart w:id="29" w:name="_Toc28359097"/>
      <w:r/>
      <w:bookmarkStart w:id="30" w:name="_Toc35393638"/>
      <w:r/>
      <w:bookmarkStart w:id="31" w:name="_Toc28359020"/>
      <w:r/>
      <w:bookmarkStart w:id="32" w:name="_Toc35393807"/>
      <w:r>
        <w:rPr>
          <w:rFonts w:hint="eastAsia" w:ascii="宋体" w:hAnsi="宋体" w:eastAsia="宋体" w:cs="宋体"/>
          <w:b w:val="0"/>
          <w:bCs w:val="0"/>
          <w:color w:val="auto"/>
          <w:sz w:val="24"/>
          <w:szCs w:val="20"/>
          <w:highlight w:val="none"/>
        </w:rPr>
        <w:t xml:space="preserve">名    称：</w:t>
      </w:r>
      <w:r>
        <w:rPr>
          <w:rFonts w:hint="eastAsia" w:cs="宋体"/>
          <w:b w:val="0"/>
          <w:bCs w:val="0"/>
          <w:color w:val="auto"/>
          <w:sz w:val="24"/>
          <w:szCs w:val="20"/>
          <w:highlight w:val="none"/>
          <w:lang w:eastAsia="zh-CN"/>
        </w:rPr>
        <w:t xml:space="preserve">盐城市大丰区文化广电和旅游局</w:t>
      </w:r>
      <w:r/>
    </w:p>
    <w:p>
      <w:pPr>
        <w:ind w:firstLine="482"/>
        <w:spacing w:line="48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联 系 人：</w:t>
      </w:r>
      <w:r>
        <w:rPr>
          <w:rFonts w:hint="eastAsia" w:cs="宋体"/>
          <w:b w:val="0"/>
          <w:bCs w:val="0"/>
          <w:color w:val="auto"/>
          <w:sz w:val="24"/>
          <w:szCs w:val="20"/>
          <w:highlight w:val="none"/>
          <w:lang w:eastAsia="zh-CN"/>
        </w:rPr>
        <w:t xml:space="preserve">冯先生</w:t>
      </w:r>
      <w:r/>
    </w:p>
    <w:p>
      <w:pPr>
        <w:ind w:firstLine="482"/>
        <w:spacing w:line="480" w:lineRule="exact"/>
        <w:widowControl/>
        <w:rPr>
          <w:rFonts w:hint="eastAsia" w:ascii="宋体" w:hAnsi="宋体" w:eastAsia="宋体" w:cs="宋体"/>
          <w:b/>
          <w:bCs/>
          <w:color w:val="auto"/>
          <w:sz w:val="24"/>
          <w:szCs w:val="20"/>
          <w:highlight w:val="none"/>
          <w:u w:val="single"/>
          <w:lang w:val="en-US" w:eastAsia="zh-CN"/>
        </w:rPr>
      </w:pPr>
      <w:r>
        <w:rPr>
          <w:rFonts w:hint="eastAsia" w:ascii="宋体" w:hAnsi="宋体" w:eastAsia="宋体" w:cs="宋体"/>
          <w:b w:val="0"/>
          <w:bCs w:val="0"/>
          <w:color w:val="auto"/>
          <w:sz w:val="24"/>
          <w:szCs w:val="20"/>
          <w:highlight w:val="none"/>
        </w:rPr>
        <w:t xml:space="preserve">联系电话：</w:t>
      </w:r>
      <w:r>
        <w:rPr>
          <w:rFonts w:hint="eastAsia" w:cs="宋体"/>
          <w:b w:val="0"/>
          <w:bCs w:val="0"/>
          <w:color w:val="auto"/>
          <w:sz w:val="24"/>
          <w:szCs w:val="20"/>
          <w:highlight w:val="none"/>
          <w:lang w:eastAsia="zh-CN"/>
        </w:rPr>
        <w:t xml:space="preserve">15862050011</w:t>
      </w:r>
      <w:r/>
    </w:p>
    <w:p>
      <w:pPr>
        <w:ind w:firstLine="482"/>
        <w:spacing w:line="48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2.采购代理机构信息</w:t>
      </w:r>
      <w:bookmarkEnd w:id="29"/>
      <w:r/>
      <w:bookmarkEnd w:id="30"/>
      <w:r/>
      <w:bookmarkEnd w:id="31"/>
      <w:r/>
      <w:bookmarkEnd w:id="32"/>
      <w:r/>
      <w:r/>
    </w:p>
    <w:p>
      <w:pPr>
        <w:ind w:firstLine="482"/>
        <w:spacing w:line="480" w:lineRule="exact"/>
        <w:widowControl/>
        <w:rPr>
          <w:rFonts w:hint="eastAsia" w:ascii="宋体" w:hAnsi="宋体" w:eastAsia="宋体" w:cs="宋体"/>
          <w:b w:val="0"/>
          <w:bCs w:val="0"/>
          <w:color w:val="auto"/>
          <w:sz w:val="24"/>
          <w:szCs w:val="20"/>
          <w:highlight w:val="none"/>
          <w:lang w:eastAsia="zh-CN"/>
        </w:rPr>
      </w:pPr>
      <w:r/>
      <w:bookmarkStart w:id="33" w:name="_Toc28359098"/>
      <w:r/>
      <w:bookmarkStart w:id="34" w:name="_Toc35393808"/>
      <w:r/>
      <w:bookmarkStart w:id="35" w:name="_Toc35393639"/>
      <w:r>
        <w:rPr>
          <w:rFonts w:hint="eastAsia" w:ascii="宋体" w:hAnsi="宋体" w:eastAsia="宋体" w:cs="宋体"/>
          <w:b w:val="0"/>
          <w:bCs w:val="0"/>
          <w:color w:val="auto"/>
          <w:sz w:val="24"/>
          <w:szCs w:val="20"/>
          <w:highlight w:val="none"/>
        </w:rPr>
        <w:t xml:space="preserve">名    称：</w:t>
      </w:r>
      <w:r>
        <w:rPr>
          <w:rFonts w:hint="eastAsia" w:cs="宋体"/>
          <w:b w:val="0"/>
          <w:bCs w:val="0"/>
          <w:color w:val="auto"/>
          <w:sz w:val="24"/>
          <w:szCs w:val="20"/>
          <w:highlight w:val="none"/>
          <w:lang w:eastAsia="zh-CN"/>
        </w:rPr>
        <w:t xml:space="preserve">盐城宏源工程管理有限公司</w:t>
      </w:r>
      <w:r/>
    </w:p>
    <w:p>
      <w:pPr>
        <w:ind w:firstLine="482"/>
        <w:spacing w:line="48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地　　址：</w:t>
      </w:r>
      <w:r>
        <w:rPr>
          <w:rFonts w:hint="eastAsia" w:cs="宋体"/>
          <w:b w:val="0"/>
          <w:bCs w:val="0"/>
          <w:color w:val="auto"/>
          <w:sz w:val="24"/>
          <w:szCs w:val="20"/>
          <w:highlight w:val="none"/>
          <w:lang w:eastAsia="zh-CN"/>
        </w:rPr>
        <w:t xml:space="preserve">盐城市大丰区黄海西路28号2幢201室</w:t>
      </w:r>
      <w:r>
        <w:rPr>
          <w:rFonts w:hint="eastAsia" w:ascii="宋体" w:hAnsi="宋体" w:eastAsia="宋体" w:cs="宋体"/>
          <w:b w:val="0"/>
          <w:bCs w:val="0"/>
          <w:color w:val="auto"/>
          <w:sz w:val="24"/>
          <w:szCs w:val="20"/>
          <w:highlight w:val="none"/>
        </w:rPr>
        <w:t xml:space="preserve">           </w:t>
      </w:r>
      <w:r/>
    </w:p>
    <w:p>
      <w:pPr>
        <w:ind w:firstLine="482"/>
        <w:spacing w:line="480" w:lineRule="exact"/>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rPr>
        <w:t xml:space="preserve">联系电话：</w:t>
      </w:r>
      <w:r>
        <w:rPr>
          <w:rFonts w:hint="eastAsia" w:cs="宋体"/>
          <w:b w:val="0"/>
          <w:bCs w:val="0"/>
          <w:color w:val="auto"/>
          <w:sz w:val="24"/>
          <w:szCs w:val="20"/>
          <w:highlight w:val="none"/>
          <w:lang w:val="en-US" w:eastAsia="zh-CN"/>
        </w:rPr>
        <w:t xml:space="preserve">18962076160</w:t>
      </w:r>
      <w:r/>
    </w:p>
    <w:p>
      <w:pPr>
        <w:ind w:firstLine="482"/>
        <w:spacing w:line="48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3.项目联系方式</w:t>
      </w:r>
      <w:bookmarkEnd w:id="33"/>
      <w:r/>
      <w:bookmarkEnd w:id="34"/>
      <w:r/>
      <w:bookmarkEnd w:id="35"/>
      <w:r/>
      <w:r/>
    </w:p>
    <w:p>
      <w:pPr>
        <w:ind w:firstLine="482"/>
        <w:spacing w:line="48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联 系 人：</w:t>
      </w:r>
      <w:r>
        <w:rPr>
          <w:rFonts w:hint="eastAsia" w:cs="宋体"/>
          <w:b w:val="0"/>
          <w:bCs w:val="0"/>
          <w:color w:val="auto"/>
          <w:sz w:val="24"/>
          <w:szCs w:val="20"/>
          <w:highlight w:val="none"/>
          <w:lang w:val="en-US" w:eastAsia="zh-CN"/>
        </w:rPr>
        <w:t xml:space="preserve">朱亮峰</w:t>
      </w:r>
      <w:r>
        <w:rPr>
          <w:rFonts w:hint="eastAsia" w:ascii="宋体" w:hAnsi="宋体" w:eastAsia="宋体" w:cs="宋体"/>
          <w:b w:val="0"/>
          <w:bCs w:val="0"/>
          <w:color w:val="auto"/>
          <w:sz w:val="24"/>
          <w:szCs w:val="20"/>
          <w:highlight w:val="none"/>
        </w:rPr>
        <w:t xml:space="preserve">              </w:t>
      </w:r>
      <w:r/>
    </w:p>
    <w:p>
      <w:pPr>
        <w:ind w:firstLine="482"/>
        <w:spacing w:line="480" w:lineRule="exact"/>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rPr>
        <w:t xml:space="preserve">联系电话：18962076160</w:t>
      </w:r>
      <w:bookmarkEnd w:id="26"/>
      <w:r/>
      <w:bookmarkEnd w:id="27"/>
      <w:r/>
      <w:bookmarkEnd w:id="28"/>
      <w:r/>
      <w:r/>
    </w:p>
    <w:p>
      <w:pPr>
        <w:ind w:firstLine="482"/>
        <w:spacing w:line="48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r>
      <w:r/>
    </w:p>
    <w:p>
      <w:pPr>
        <w:pStyle w:val="1119"/>
        <w:ind w:firstLine="2640"/>
        <w:jc w:val="left"/>
        <w:spacing w:line="240" w:lineRule="auto"/>
        <w:rPr>
          <w:rFonts w:hint="eastAsia" w:ascii="宋体" w:hAnsi="宋体" w:eastAsia="宋体" w:cs="宋体"/>
          <w:color w:val="auto"/>
          <w:highlight w:val="none"/>
        </w:rPr>
      </w:pPr>
      <w:r>
        <w:rPr>
          <w:rFonts w:hint="eastAsia" w:ascii="宋体" w:hAnsi="宋体" w:eastAsia="宋体" w:cs="宋体"/>
          <w:b w:val="0"/>
          <w:bCs/>
          <w:color w:val="auto"/>
          <w:highlight w:val="none"/>
        </w:rPr>
        <w:br w:type="page" w:clear="all"/>
      </w:r>
      <w:r>
        <w:rPr>
          <w:rFonts w:hint="eastAsia" w:ascii="宋体" w:hAnsi="宋体" w:eastAsia="宋体" w:cs="宋体"/>
          <w:b w:val="0"/>
          <w:bCs/>
          <w:color w:val="auto"/>
          <w:highlight w:val="none"/>
        </w:rPr>
        <w:t xml:space="preserve">第二章</w:t>
      </w:r>
      <w:bookmarkStart w:id="36" w:name="_Toc513029202"/>
      <w:r/>
      <w:bookmarkStart w:id="37" w:name="_Toc20823274"/>
      <w:r/>
      <w:bookmarkStart w:id="38" w:name="_Toc120614213"/>
      <w:r/>
      <w:bookmarkStart w:id="39" w:name="_Toc16938518"/>
      <w:r>
        <w:rPr>
          <w:rFonts w:hint="eastAsia" w:ascii="宋体" w:hAnsi="宋体" w:eastAsia="宋体" w:cs="宋体"/>
          <w:b w:val="0"/>
          <w:bCs/>
          <w:color w:val="auto"/>
          <w:highlight w:val="none"/>
        </w:rPr>
        <w:t xml:space="preserve">  投标人须知</w:t>
      </w:r>
      <w:bookmarkEnd w:id="36"/>
      <w:r/>
      <w:bookmarkEnd w:id="37"/>
      <w:r/>
      <w:bookmarkEnd w:id="38"/>
      <w:r/>
      <w:bookmarkEnd w:id="39"/>
      <w:r/>
      <w:r/>
    </w:p>
    <w:p>
      <w:pPr>
        <w:pStyle w:val="1118"/>
        <w:ind w:firstLine="482"/>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40" w:name="_Toc20823275"/>
      <w:r/>
      <w:bookmarkStart w:id="41" w:name="_Toc16938519"/>
      <w:r/>
      <w:bookmarkStart w:id="42" w:name="_Toc120614214"/>
      <w:r/>
      <w:bookmarkStart w:id="43" w:name="_Toc513029203"/>
      <w:r>
        <w:rPr>
          <w:rFonts w:hint="eastAsia" w:ascii="宋体" w:hAnsi="宋体" w:eastAsia="宋体" w:cs="宋体"/>
          <w:b/>
          <w:color w:val="auto"/>
          <w:szCs w:val="24"/>
          <w:highlight w:val="none"/>
        </w:rPr>
        <w:t xml:space="preserve">一、总则</w:t>
      </w:r>
      <w:bookmarkEnd w:id="40"/>
      <w:r/>
      <w:bookmarkEnd w:id="41"/>
      <w:r/>
      <w:bookmarkEnd w:id="42"/>
      <w:r/>
      <w:bookmarkEnd w:id="43"/>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44" w:name="_Toc20823276"/>
      <w:r/>
      <w:bookmarkStart w:id="45" w:name="_Toc16938520"/>
      <w:r/>
      <w:bookmarkStart w:id="46" w:name="_Toc513029204"/>
      <w:r/>
      <w:bookmarkStart w:id="47" w:name="_Toc458694821"/>
      <w:r>
        <w:rPr>
          <w:rFonts w:hint="eastAsia" w:ascii="宋体" w:hAnsi="宋体" w:eastAsia="宋体" w:cs="宋体"/>
          <w:color w:val="auto"/>
          <w:szCs w:val="24"/>
          <w:highlight w:val="none"/>
        </w:rPr>
        <w:t xml:space="preserve">1</w:t>
      </w:r>
      <w:bookmarkEnd w:id="44"/>
      <w:r>
        <w:rPr>
          <w:rFonts w:hint="eastAsia" w:ascii="宋体" w:hAnsi="宋体" w:eastAsia="宋体" w:cs="宋体"/>
          <w:color w:val="auto"/>
          <w:szCs w:val="24"/>
          <w:highlight w:val="none"/>
        </w:rPr>
        <w:t xml:space="preserve">、招标方式</w:t>
      </w:r>
      <w:bookmarkEnd w:id="45"/>
      <w:r/>
      <w:bookmarkEnd w:id="46"/>
      <w:r/>
      <w:bookmarkEnd w:id="47"/>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1.1本次招标采取公开招标方式，本招标文件仅适用于招标公告中所述项目。</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48" w:name="_Toc16938521"/>
      <w:r/>
      <w:bookmarkStart w:id="49" w:name="_Toc20823277"/>
      <w:r/>
      <w:bookmarkStart w:id="50" w:name="_Toc513029205"/>
      <w:r>
        <w:rPr>
          <w:rFonts w:hint="eastAsia" w:ascii="宋体" w:hAnsi="宋体" w:eastAsia="宋体" w:cs="宋体"/>
          <w:color w:val="auto"/>
          <w:szCs w:val="24"/>
          <w:highlight w:val="none"/>
        </w:rPr>
        <w:t xml:space="preserve">2、合格的投标人</w:t>
      </w:r>
      <w:bookmarkEnd w:id="48"/>
      <w:r/>
      <w:bookmarkEnd w:id="49"/>
      <w:r/>
      <w:bookmarkEnd w:id="50"/>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2.1满足招标公告中供应商的资格要求的规定。</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2.2满足本文件实质性要求和条件的规定。</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51" w:name="_Toc16938522"/>
      <w:r/>
      <w:bookmarkStart w:id="52" w:name="_Toc513029206"/>
      <w:r/>
      <w:bookmarkStart w:id="53" w:name="_Toc20823278"/>
      <w:r>
        <w:rPr>
          <w:rFonts w:hint="eastAsia" w:ascii="宋体" w:hAnsi="宋体" w:eastAsia="宋体" w:cs="宋体"/>
          <w:color w:val="auto"/>
          <w:szCs w:val="24"/>
          <w:highlight w:val="none"/>
        </w:rPr>
        <w:t xml:space="preserve">3、适用法律</w:t>
      </w:r>
      <w:bookmarkEnd w:id="51"/>
      <w:r/>
      <w:bookmarkEnd w:id="52"/>
      <w:r/>
      <w:bookmarkEnd w:id="53"/>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3.1本次招标及由此产生的合同受中华人民共和国有关的法律法规制约和保护。</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54" w:name="_Toc462564067"/>
      <w:r/>
      <w:bookmarkStart w:id="55" w:name="_Toc513029207"/>
      <w:r/>
      <w:bookmarkStart w:id="56" w:name="_Toc20823279"/>
      <w:r/>
      <w:bookmarkStart w:id="57" w:name="_Toc16938523"/>
      <w:r>
        <w:rPr>
          <w:rFonts w:hint="eastAsia" w:ascii="宋体" w:hAnsi="宋体" w:eastAsia="宋体" w:cs="宋体"/>
          <w:color w:val="auto"/>
          <w:szCs w:val="24"/>
          <w:highlight w:val="none"/>
        </w:rPr>
        <w:t xml:space="preserve">4、投标费用</w:t>
      </w:r>
      <w:bookmarkEnd w:id="54"/>
      <w:r/>
      <w:bookmarkEnd w:id="55"/>
      <w:r/>
      <w:bookmarkEnd w:id="56"/>
      <w:r/>
      <w:bookmarkEnd w:id="57"/>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4.1投标人应自行承担所有与参加投标有关的费用，无论投标过程中的做法和结果如何，</w:t>
      </w:r>
      <w:r>
        <w:rPr>
          <w:rFonts w:hint="eastAsia" w:ascii="宋体" w:hAnsi="宋体" w:eastAsia="宋体" w:cs="宋体"/>
          <w:color w:val="auto"/>
          <w:szCs w:val="24"/>
          <w:highlight w:val="none"/>
          <w:lang w:val="en-US" w:eastAsia="zh-CN"/>
        </w:rPr>
        <w:t xml:space="preserve">采购人</w:t>
      </w:r>
      <w:r>
        <w:rPr>
          <w:rFonts w:hint="eastAsia" w:ascii="宋体" w:hAnsi="宋体" w:eastAsia="宋体" w:cs="宋体"/>
          <w:color w:val="auto"/>
          <w:szCs w:val="24"/>
          <w:highlight w:val="none"/>
        </w:rPr>
        <w:t xml:space="preserve">在任何情况下均无义务和责任承担这些费用。</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4.2 本项目中标单位在领取中标通知书前，须向采购代理机构支付招标代理服务费，招标代理服务费按苏招协[2022]002文货物类收费标准收取，上述费用由各投标人在投标时自行综合考虑分摊在投标报价中，且不得单列，采购人不再承担上述费用。</w:t>
      </w:r>
      <w:r/>
    </w:p>
    <w:p>
      <w:pPr>
        <w:pStyle w:val="1118"/>
        <w:ind w:firstLine="482"/>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b w:val="0"/>
          <w:bCs/>
          <w:color w:val="auto"/>
          <w:szCs w:val="24"/>
          <w:highlight w:val="none"/>
        </w:rPr>
        <w:t xml:space="preserve">5、</w:t>
      </w:r>
      <w:r>
        <w:rPr>
          <w:rFonts w:hint="eastAsia" w:ascii="宋体" w:hAnsi="宋体" w:eastAsia="宋体" w:cs="宋体"/>
          <w:color w:val="auto"/>
          <w:szCs w:val="24"/>
          <w:highlight w:val="none"/>
        </w:rPr>
        <w:t xml:space="preserve">招标文件的约束力</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5.1投标人一旦参加本项目采购活动，即被认为接受了本招标文件的规定和约束。</w:t>
      </w:r>
      <w:r/>
    </w:p>
    <w:p>
      <w:pPr>
        <w:pStyle w:val="1118"/>
        <w:ind w:firstLine="482"/>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58" w:name="_Toc16938525"/>
      <w:r/>
      <w:bookmarkStart w:id="59" w:name="_Toc120614215"/>
      <w:r/>
      <w:bookmarkStart w:id="60" w:name="_Toc20823281"/>
      <w:r>
        <w:rPr>
          <w:rFonts w:hint="eastAsia" w:ascii="宋体" w:hAnsi="宋体" w:eastAsia="宋体" w:cs="宋体"/>
          <w:b/>
          <w:color w:val="auto"/>
          <w:szCs w:val="24"/>
          <w:highlight w:val="none"/>
        </w:rPr>
        <w:t xml:space="preserve">二、招标文件</w:t>
      </w:r>
      <w:bookmarkEnd w:id="58"/>
      <w:r/>
      <w:bookmarkEnd w:id="59"/>
      <w:r/>
      <w:bookmarkEnd w:id="60"/>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61" w:name="_Toc16938526"/>
      <w:r/>
      <w:bookmarkStart w:id="62" w:name="_Toc513029210"/>
      <w:r/>
      <w:bookmarkStart w:id="63" w:name="_Toc20823282"/>
      <w:r>
        <w:rPr>
          <w:rFonts w:hint="eastAsia" w:ascii="宋体" w:hAnsi="宋体" w:eastAsia="宋体" w:cs="宋体"/>
          <w:color w:val="auto"/>
          <w:szCs w:val="24"/>
          <w:highlight w:val="none"/>
        </w:rPr>
        <w:t xml:space="preserve">6、招标文件构成</w:t>
      </w:r>
      <w:bookmarkEnd w:id="61"/>
      <w:r/>
      <w:bookmarkEnd w:id="62"/>
      <w:r/>
      <w:bookmarkEnd w:id="63"/>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6.1招标文件由以下部分组成：</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（1）招标公告</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（2）投标人须知</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（3）合同文本</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（4）采购需求</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（5）评标方法与评标标准</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（6）投标文件格式</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请仔细检查招标文件是否齐全，如有缺漏请立即与采购人或采购代理机构联系解决。</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64" w:name="_Toc20823283"/>
      <w:r/>
      <w:bookmarkStart w:id="65" w:name="_Toc462564070"/>
      <w:r/>
      <w:bookmarkStart w:id="66" w:name="_Toc16938527"/>
      <w:r/>
      <w:bookmarkStart w:id="67" w:name="_Toc513029211"/>
      <w:r>
        <w:rPr>
          <w:rFonts w:hint="eastAsia" w:ascii="宋体" w:hAnsi="宋体" w:eastAsia="宋体" w:cs="宋体"/>
          <w:color w:val="auto"/>
          <w:szCs w:val="24"/>
          <w:highlight w:val="none"/>
        </w:rPr>
        <w:t xml:space="preserve">7、招标文件的澄清</w:t>
      </w:r>
      <w:bookmarkEnd w:id="64"/>
      <w:r/>
      <w:bookmarkEnd w:id="65"/>
      <w:r/>
      <w:bookmarkEnd w:id="66"/>
      <w:r/>
      <w:bookmarkEnd w:id="67"/>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7.1任何要求对招标文件进行澄清的投标人，应在投标截止期</w:t>
      </w:r>
      <w:r>
        <w:rPr>
          <w:rFonts w:hint="eastAsia" w:ascii="宋体" w:hAnsi="宋体" w:eastAsia="宋体" w:cs="宋体"/>
          <w:b/>
          <w:color w:val="auto"/>
          <w:szCs w:val="24"/>
          <w:highlight w:val="none"/>
        </w:rPr>
        <w:t xml:space="preserve">十日</w:t>
      </w:r>
      <w:r>
        <w:rPr>
          <w:rFonts w:hint="eastAsia" w:ascii="宋体" w:hAnsi="宋体" w:eastAsia="宋体" w:cs="宋体"/>
          <w:color w:val="auto"/>
          <w:szCs w:val="24"/>
          <w:highlight w:val="none"/>
        </w:rPr>
        <w:t xml:space="preserve">前按招标公告中的通讯地址，以书面形式通知采购人或采购代理机构。</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68" w:name="_Toc513029212"/>
      <w:r/>
      <w:bookmarkStart w:id="69" w:name="_Toc16938528"/>
      <w:r/>
      <w:bookmarkStart w:id="70" w:name="_Toc20823284"/>
      <w:r/>
      <w:bookmarkStart w:id="71" w:name="_Toc462564071"/>
      <w:r>
        <w:rPr>
          <w:rFonts w:hint="eastAsia" w:ascii="宋体" w:hAnsi="宋体" w:eastAsia="宋体" w:cs="宋体"/>
          <w:color w:val="auto"/>
          <w:szCs w:val="24"/>
          <w:highlight w:val="none"/>
        </w:rPr>
        <w:t xml:space="preserve">8、招标文件的修改</w:t>
      </w:r>
      <w:bookmarkEnd w:id="68"/>
      <w:r/>
      <w:bookmarkEnd w:id="69"/>
      <w:r/>
      <w:bookmarkEnd w:id="70"/>
      <w:r/>
      <w:bookmarkEnd w:id="71"/>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8.1在投标截止时间前，采购人可以对招标文件进行修改。</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8.2采购人有权按照法定的要求推迟投标截止日期和开标日期。</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8.3招标文件的修改将在中国政府采购网</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rPr>
        <w:t xml:space="preserve">江苏政府采购网、盐城市政府采购网公布，补充文件将作为招标文件的组成部分，并对投标人具有约束力。</w:t>
      </w:r>
      <w:r/>
    </w:p>
    <w:p>
      <w:pPr>
        <w:pStyle w:val="1118"/>
        <w:ind w:firstLine="482"/>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72" w:name="_Toc16938529"/>
      <w:r/>
      <w:bookmarkStart w:id="73" w:name="_Toc120614216"/>
      <w:r/>
      <w:bookmarkStart w:id="74" w:name="_Toc462564072"/>
      <w:r/>
      <w:bookmarkStart w:id="75" w:name="_Toc513029213"/>
      <w:r/>
      <w:bookmarkStart w:id="76" w:name="_Toc20823285"/>
      <w:r>
        <w:rPr>
          <w:rFonts w:hint="eastAsia" w:ascii="宋体" w:hAnsi="宋体" w:eastAsia="宋体" w:cs="宋体"/>
          <w:b/>
          <w:color w:val="auto"/>
          <w:szCs w:val="24"/>
          <w:highlight w:val="none"/>
        </w:rPr>
        <w:t xml:space="preserve">三、投标文件的编制</w:t>
      </w:r>
      <w:bookmarkEnd w:id="72"/>
      <w:r/>
      <w:bookmarkEnd w:id="73"/>
      <w:r/>
      <w:bookmarkEnd w:id="74"/>
      <w:r/>
      <w:bookmarkEnd w:id="75"/>
      <w:r/>
      <w:bookmarkEnd w:id="76"/>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77" w:name="_Toc513029214"/>
      <w:r/>
      <w:bookmarkStart w:id="78" w:name="_Toc16938530"/>
      <w:r/>
      <w:bookmarkStart w:id="79" w:name="_Toc462564073"/>
      <w:r/>
      <w:bookmarkStart w:id="80" w:name="_Toc20823286"/>
      <w:r>
        <w:rPr>
          <w:rFonts w:hint="eastAsia" w:ascii="宋体" w:hAnsi="宋体" w:eastAsia="宋体" w:cs="宋体"/>
          <w:color w:val="auto"/>
          <w:szCs w:val="24"/>
          <w:highlight w:val="none"/>
        </w:rPr>
        <w:t xml:space="preserve">9、投标文件的语言及度量衡单位</w:t>
      </w:r>
      <w:bookmarkEnd w:id="77"/>
      <w:r/>
      <w:bookmarkEnd w:id="78"/>
      <w:r/>
      <w:bookmarkEnd w:id="79"/>
      <w:r/>
      <w:bookmarkEnd w:id="80"/>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9.1投标人提交的投标文件以及投标人与采购人就有关投标的所有来往通知、函件和文件均应使用</w:t>
      </w:r>
      <w:r>
        <w:rPr>
          <w:rFonts w:hint="eastAsia" w:ascii="宋体" w:hAnsi="宋体" w:eastAsia="宋体" w:cs="宋体"/>
          <w:b/>
          <w:color w:val="auto"/>
          <w:szCs w:val="24"/>
          <w:highlight w:val="none"/>
        </w:rPr>
        <w:t xml:space="preserve">简体中文</w:t>
      </w:r>
      <w:r>
        <w:rPr>
          <w:rFonts w:hint="eastAsia" w:ascii="宋体" w:hAnsi="宋体" w:eastAsia="宋体" w:cs="宋体"/>
          <w:color w:val="auto"/>
          <w:szCs w:val="24"/>
          <w:highlight w:val="none"/>
        </w:rPr>
        <w:t xml:space="preserve">。</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9.2除技术性能另有规定外，投标文件所使用的度量衡单位，均须采用国家法定计量单位。</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81" w:name="_Toc20823287"/>
      <w:r/>
      <w:bookmarkStart w:id="82" w:name="_Toc462564074"/>
      <w:r/>
      <w:bookmarkStart w:id="83" w:name="_Toc16938531"/>
      <w:r/>
      <w:bookmarkStart w:id="84" w:name="_Toc513029215"/>
      <w:r>
        <w:rPr>
          <w:rFonts w:hint="eastAsia" w:ascii="宋体" w:hAnsi="宋体" w:eastAsia="宋体" w:cs="宋体"/>
          <w:color w:val="auto"/>
          <w:szCs w:val="24"/>
          <w:highlight w:val="none"/>
        </w:rPr>
        <w:t xml:space="preserve">10、投标文件构成</w:t>
      </w:r>
      <w:bookmarkEnd w:id="81"/>
      <w:r/>
      <w:bookmarkEnd w:id="82"/>
      <w:r/>
      <w:bookmarkEnd w:id="83"/>
      <w:r/>
      <w:bookmarkEnd w:id="84"/>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10.2如标书制作工具中格式和内容与</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rPr>
        <w:t xml:space="preserve">中国政府采购网</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rPr>
        <w:t xml:space="preserve">“江苏政府采购网”、“盐城市政府采购网</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rPr>
        <w:t xml:space="preserve">发布的招标文件不一致，请以</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中国政府采购网</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rPr>
        <w:t xml:space="preserve">“江苏政府采购网”、“盐城市政府采购网</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rPr>
        <w:t xml:space="preserve">发布的招标文件为准。</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85" w:name="_Toc14577355"/>
      <w:r/>
      <w:bookmarkStart w:id="86" w:name="_Toc14577354"/>
      <w:r/>
      <w:bookmarkStart w:id="87" w:name="_Toc513029216"/>
      <w:r/>
      <w:bookmarkStart w:id="88" w:name="_Toc14577357"/>
      <w:r/>
      <w:bookmarkStart w:id="89" w:name="_Toc49090507"/>
      <w:r/>
      <w:bookmarkStart w:id="90" w:name="_Toc49090509"/>
      <w:r/>
      <w:bookmarkStart w:id="91" w:name="_Toc49090508"/>
      <w:r/>
      <w:bookmarkStart w:id="92" w:name="_Toc513029219"/>
      <w:r>
        <w:rPr>
          <w:rFonts w:hint="eastAsia" w:ascii="宋体" w:hAnsi="宋体" w:eastAsia="宋体" w:cs="宋体"/>
          <w:color w:val="auto"/>
          <w:szCs w:val="24"/>
          <w:highlight w:val="none"/>
        </w:rPr>
        <w:t xml:space="preserve">11、证明投标人及投标标的符合招标文件规定的文件</w:t>
      </w:r>
      <w:bookmarkEnd w:id="85"/>
      <w:r/>
      <w:bookmarkEnd w:id="86"/>
      <w:r/>
      <w:bookmarkEnd w:id="87"/>
      <w:r/>
      <w:bookmarkEnd w:id="88"/>
      <w:r/>
      <w:bookmarkEnd w:id="89"/>
      <w:r/>
      <w:bookmarkEnd w:id="90"/>
      <w:r/>
      <w:bookmarkEnd w:id="91"/>
      <w:r/>
      <w:bookmarkEnd w:id="92"/>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11.1投标人应按照招标文件要求提交证明文件，证明其及投标标的符合招标文件规定。</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11.2招标文件对证明文件无明确形式要求的，证明文件可以以文字资料、图纸和数据等形式提交。</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12、投标分项报价表</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12.1投标人应按照招标文件规定格式填报投标分项报价表。</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12.2投标货币。投标文件中的单价和总价无特殊规定的采用人民币报价，以元为单位标注。招标文件中另有规定的按规定执行。</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13、技术要求响应及偏离表、商务要求响应及偏离表</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13.1投标人需对招标文件中的技术要求与商务要求逐项作出响应或偏离，并说明原因。</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13.2投标人可在投标文件中提供认为需要的其他技术文件或说明。</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14、服务承诺、培训计划、人员安排及其他</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14.1投标人需根据招标文件要求提供有关售后服务的管理制度，售后服务机构的分布情况，售后服务人员的数量、素质、技术水平及售后服务的反应能力等。</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14.2投标人需根据招标文件要求提供培训计划。</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14.3投标人需根据招标文件要求提供所投标的的主要组成部分、功能设计、实现思路及关键技术等。</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93" w:name="_Toc49090510"/>
      <w:r/>
      <w:bookmarkStart w:id="94" w:name="_Toc14577359"/>
      <w:r>
        <w:rPr>
          <w:rFonts w:hint="eastAsia" w:ascii="宋体" w:hAnsi="宋体" w:eastAsia="宋体" w:cs="宋体"/>
          <w:color w:val="auto"/>
          <w:szCs w:val="24"/>
          <w:highlight w:val="none"/>
        </w:rPr>
        <w:t xml:space="preserve">15、投标函和开标一览表</w:t>
      </w:r>
      <w:bookmarkEnd w:id="93"/>
      <w:r/>
      <w:bookmarkEnd w:id="94"/>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15.1投标人应按照招标文件中提供的格式完整、正确填写投标函、开标一览表。</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95" w:name="_Toc14577360"/>
      <w:r/>
      <w:bookmarkStart w:id="96" w:name="_Toc49090511"/>
      <w:r>
        <w:rPr>
          <w:rFonts w:hint="eastAsia" w:ascii="宋体" w:hAnsi="宋体" w:eastAsia="宋体" w:cs="宋体"/>
          <w:color w:val="auto"/>
          <w:szCs w:val="24"/>
          <w:highlight w:val="none"/>
        </w:rPr>
        <w:t xml:space="preserve">16、投标有效期</w:t>
      </w:r>
      <w:bookmarkEnd w:id="95"/>
      <w:r/>
      <w:bookmarkEnd w:id="96"/>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16.1投标有效期为采购人规定的开标之日后</w:t>
      </w:r>
      <w:r>
        <w:rPr>
          <w:rFonts w:hint="eastAsia" w:ascii="宋体" w:hAnsi="宋体" w:eastAsia="宋体" w:cs="宋体"/>
          <w:b/>
          <w:color w:val="auto"/>
          <w:szCs w:val="24"/>
          <w:highlight w:val="none"/>
          <w:u w:val="single"/>
        </w:rPr>
        <w:t xml:space="preserve">六十（60）天</w:t>
      </w:r>
      <w:r>
        <w:rPr>
          <w:rFonts w:hint="eastAsia" w:ascii="宋体" w:hAnsi="宋体" w:eastAsia="宋体" w:cs="宋体"/>
          <w:color w:val="auto"/>
          <w:szCs w:val="24"/>
          <w:highlight w:val="none"/>
        </w:rPr>
        <w:t xml:space="preserve">。投标有效期比规定短的将被视为未实质性响应招标文件而予以拒绝。</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17、投标有效期的延长</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1118"/>
        <w:ind w:firstLine="482"/>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97" w:name="_Toc120614217"/>
      <w:r/>
      <w:bookmarkStart w:id="98" w:name="_Toc513029224"/>
      <w:r/>
      <w:bookmarkStart w:id="99" w:name="_Toc20823296"/>
      <w:r/>
      <w:bookmarkStart w:id="100" w:name="_Toc16938540"/>
      <w:r>
        <w:rPr>
          <w:rFonts w:hint="eastAsia" w:ascii="宋体" w:hAnsi="宋体" w:eastAsia="宋体" w:cs="宋体"/>
          <w:b/>
          <w:color w:val="auto"/>
          <w:szCs w:val="24"/>
          <w:highlight w:val="none"/>
        </w:rPr>
        <w:t xml:space="preserve">四、投标文件的递交</w:t>
      </w:r>
      <w:bookmarkEnd w:id="97"/>
      <w:r/>
      <w:bookmarkEnd w:id="98"/>
      <w:r/>
      <w:bookmarkEnd w:id="99"/>
      <w:r/>
      <w:bookmarkEnd w:id="100"/>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01" w:name="_Toc513029225"/>
      <w:r/>
      <w:bookmarkStart w:id="102" w:name="_Toc462564084"/>
      <w:r/>
      <w:bookmarkStart w:id="103" w:name="_Toc20823297"/>
      <w:r/>
      <w:bookmarkStart w:id="104" w:name="_Toc16938541"/>
      <w:r>
        <w:rPr>
          <w:rFonts w:hint="eastAsia" w:ascii="宋体" w:hAnsi="宋体" w:eastAsia="宋体" w:cs="宋体"/>
          <w:color w:val="auto"/>
          <w:szCs w:val="24"/>
          <w:highlight w:val="none"/>
        </w:rPr>
        <w:t xml:space="preserve">18、电子投标文件</w:t>
      </w:r>
      <w:bookmarkEnd w:id="101"/>
      <w:r/>
      <w:bookmarkEnd w:id="102"/>
      <w:r/>
      <w:bookmarkEnd w:id="103"/>
      <w:r/>
      <w:bookmarkEnd w:id="104"/>
      <w:r>
        <w:rPr>
          <w:rFonts w:hint="eastAsia" w:ascii="宋体" w:hAnsi="宋体" w:eastAsia="宋体" w:cs="宋体"/>
          <w:color w:val="auto"/>
          <w:szCs w:val="24"/>
          <w:highlight w:val="none"/>
        </w:rPr>
        <w:t xml:space="preserve">的递交</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18.1投标人应当按照《操作手册》规定，在投标截止时间前制作并上传电子投标文件。</w:t>
      </w:r>
      <w:bookmarkStart w:id="105" w:name="_Toc20823298"/>
      <w:r/>
      <w:bookmarkEnd w:id="105"/>
      <w:r/>
      <w:bookmarkStart w:id="106" w:name="_Toc16938542"/>
      <w:r/>
      <w:bookmarkEnd w:id="106"/>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19、投标截止日期</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i/>
          <w:color w:val="auto"/>
          <w:szCs w:val="24"/>
          <w:highlight w:val="none"/>
          <w:u w:val="single"/>
        </w:rPr>
        <w:t xml:space="preserve">19.1投标人上传电子投标文件的时间不得迟于招标公告中规定的投标截止时间。</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19.2 采购人可以按照规定，通过修改招标文件酌情延长投标截止日期，在此情况下，投标人的所有权利和义务以及投标人受制的截止日期均应以延长后新的截止日期为准。</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07" w:name="_Toc513029227"/>
      <w:r/>
      <w:bookmarkStart w:id="108" w:name="_Toc16938543"/>
      <w:r/>
      <w:bookmarkStart w:id="109" w:name="_Toc20823299"/>
      <w:r>
        <w:rPr>
          <w:rFonts w:hint="eastAsia" w:ascii="宋体" w:hAnsi="宋体" w:eastAsia="宋体" w:cs="宋体"/>
          <w:color w:val="auto"/>
          <w:szCs w:val="24"/>
          <w:highlight w:val="none"/>
        </w:rPr>
        <w:t xml:space="preserve">20、投标文件</w:t>
      </w:r>
      <w:bookmarkEnd w:id="107"/>
      <w:r/>
      <w:bookmarkEnd w:id="108"/>
      <w:r/>
      <w:bookmarkEnd w:id="109"/>
      <w:r>
        <w:rPr>
          <w:rFonts w:hint="eastAsia" w:ascii="宋体" w:hAnsi="宋体" w:eastAsia="宋体" w:cs="宋体"/>
          <w:color w:val="auto"/>
          <w:szCs w:val="24"/>
          <w:highlight w:val="none"/>
        </w:rPr>
        <w:t xml:space="preserve">的拒收</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20.1采购人拒绝接收在其规定的投标截止时间后上传的任何投标文件。</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10" w:name="_Toc16938544"/>
      <w:r/>
      <w:bookmarkStart w:id="111" w:name="_Toc20823300"/>
      <w:r/>
      <w:bookmarkStart w:id="112" w:name="_Toc513029228"/>
      <w:r>
        <w:rPr>
          <w:rFonts w:hint="eastAsia" w:ascii="宋体" w:hAnsi="宋体" w:eastAsia="宋体" w:cs="宋体"/>
          <w:color w:val="auto"/>
          <w:szCs w:val="24"/>
          <w:highlight w:val="none"/>
        </w:rPr>
        <w:t xml:space="preserve">21、投标文件的撤回和修改</w:t>
      </w:r>
      <w:bookmarkEnd w:id="110"/>
      <w:r/>
      <w:bookmarkEnd w:id="111"/>
      <w:r/>
      <w:bookmarkEnd w:id="112"/>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21.1投标文件的撤回</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21.1.1电子投标文件的撤回</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投标人可在投标截止时间前，撤回其电子投标文件，具体操作方法见《操作手册》。</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21.1.2投标人撤回电子投标文件，则认为其不再参与本项目投标活动。</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21.2投标文件的修改</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21.2.1投标人可在投标截止时间前，对其电子投标文件进行修改，具体操作方法见《操作手册》。</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21.2.2在投标截止时间之后，投标人不得对其电子投标文件作任何修改。</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21.3在投标截止时间至招标文件中规定的投标有效期满之间的这段时间内，投标人不得撤回其投标。</w:t>
      </w:r>
      <w:r/>
    </w:p>
    <w:p>
      <w:pPr>
        <w:pStyle w:val="1118"/>
        <w:ind w:firstLine="482"/>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13" w:name="_Toc20823301"/>
      <w:r/>
      <w:bookmarkStart w:id="114" w:name="_Toc513029229"/>
      <w:r/>
      <w:bookmarkStart w:id="115" w:name="_Toc16938545"/>
      <w:r/>
      <w:bookmarkStart w:id="116" w:name="_Toc120614218"/>
      <w:r>
        <w:rPr>
          <w:rFonts w:hint="eastAsia" w:ascii="宋体" w:hAnsi="宋体" w:eastAsia="宋体" w:cs="宋体"/>
          <w:b/>
          <w:color w:val="auto"/>
          <w:szCs w:val="24"/>
          <w:highlight w:val="none"/>
        </w:rPr>
        <w:t xml:space="preserve">五、开标与评标</w:t>
      </w:r>
      <w:bookmarkEnd w:id="113"/>
      <w:r/>
      <w:bookmarkEnd w:id="114"/>
      <w:r/>
      <w:bookmarkEnd w:id="115"/>
      <w:r/>
      <w:bookmarkEnd w:id="116"/>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17" w:name="_Toc16938546"/>
      <w:r/>
      <w:bookmarkStart w:id="118" w:name="_Toc20823302"/>
      <w:r/>
      <w:bookmarkStart w:id="119" w:name="_Toc513029230"/>
      <w:r>
        <w:rPr>
          <w:rFonts w:hint="eastAsia" w:ascii="宋体" w:hAnsi="宋体" w:eastAsia="宋体" w:cs="宋体"/>
          <w:color w:val="auto"/>
          <w:szCs w:val="24"/>
          <w:highlight w:val="none"/>
        </w:rPr>
        <w:t xml:space="preserve">22、开标</w:t>
      </w:r>
      <w:bookmarkEnd w:id="117"/>
      <w:r/>
      <w:bookmarkEnd w:id="118"/>
      <w:r/>
      <w:bookmarkEnd w:id="119"/>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22.1采购人将在招标公告中规定的时间和地点组织公开开标。投标人应当按照《操作手册》规定，参加开标活动和在苏采云系统规定的时间内对投标文件进行解密。</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22.2开标仪式由采购代理机构组织。苏采云系统将自动对项目进行开标，并宣布各投标人名称和投标价格。</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22.3投标人在开标过程中涉及到的投标文件解密、开标结果确认等工作，应按照《操作手册》规定执行。</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22.4投标人如果对开标过程和开标记录有疑义，应当根据《操作手册》规定提出，如苏采云系统中《开标记录表》宣布后5分钟内未提出的，视同认可开标结果。</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20" w:name="_Toc20823303"/>
      <w:r/>
      <w:bookmarkStart w:id="121" w:name="_Toc16938547"/>
      <w:r/>
      <w:bookmarkStart w:id="122" w:name="_Toc513029231"/>
      <w:r>
        <w:rPr>
          <w:rFonts w:hint="eastAsia" w:ascii="宋体" w:hAnsi="宋体" w:eastAsia="宋体" w:cs="宋体"/>
          <w:color w:val="auto"/>
          <w:szCs w:val="24"/>
          <w:highlight w:val="none"/>
        </w:rPr>
        <w:t xml:space="preserve">23、评标委员会</w:t>
      </w:r>
      <w:bookmarkEnd w:id="120"/>
      <w:r/>
      <w:bookmarkEnd w:id="121"/>
      <w:r/>
      <w:bookmarkEnd w:id="122"/>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23.1开标后，采购代理机构将立即组织评标委员会（以下简称评委会）进行评标。</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23.2评委会由采购人代表和有关技术、经济等方面的专家组成，且人员构成符合政府采购有关规定。</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23.3评委会独立工作，负责评审所有投标文件并确定中标侯选人。</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24．评标过程的保密与公正</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24.1凡是与审查、澄清、评价和比较投标的有关资料以及授标建议等，采购人、评委、采购代理机构均不得向投标人或与评标无关的其他人员透露。</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24.2在评标过程中，投标人不得以任何行为影响评标过程，否则其投标文件将被作为无效投标文件。</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24.3采购代理机构和评标委员会不向未中标的投标人解释未中标原因，也不公布评标过程中的相关细节。</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24.4采用综合评分法的项目，未中标的投标人可于中标结果公告期限届满之日起通过苏采云系统查看自己的评审得分及排序情况。</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23" w:name="_Toc20823304"/>
      <w:r/>
      <w:bookmarkStart w:id="124" w:name="_Toc513029232"/>
      <w:r/>
      <w:bookmarkStart w:id="125" w:name="_Toc16938548"/>
      <w:r>
        <w:rPr>
          <w:rFonts w:hint="eastAsia" w:ascii="宋体" w:hAnsi="宋体" w:eastAsia="宋体" w:cs="宋体"/>
          <w:color w:val="auto"/>
          <w:szCs w:val="24"/>
          <w:highlight w:val="none"/>
        </w:rPr>
        <w:t xml:space="preserve">25．投标文件的澄清</w:t>
      </w:r>
      <w:bookmarkEnd w:id="123"/>
      <w:r/>
      <w:bookmarkEnd w:id="124"/>
      <w:r/>
      <w:bookmarkEnd w:id="125"/>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bookmarkStart w:id="126" w:name="_Toc16938549"/>
      <w:r/>
      <w:bookmarkStart w:id="127" w:name="_Toc513029233"/>
      <w:r/>
      <w:bookmarkStart w:id="128" w:name="_Toc20823305"/>
      <w:r>
        <w:rPr>
          <w:rFonts w:hint="eastAsia" w:ascii="宋体" w:hAnsi="宋体" w:eastAsia="宋体" w:cs="宋体"/>
          <w:color w:val="auto"/>
          <w:szCs w:val="24"/>
          <w:highlight w:val="none"/>
        </w:rPr>
        <w:t xml:space="preserve">25.1评标期间，评委会对投标文件中含义不明确、同类问题表述不一致或者有明显文字和计算错误的内容，有权要求投标人作出必要的澄清、说明或者补正。</w:t>
      </w:r>
      <w:bookmarkEnd w:id="126"/>
      <w:r/>
      <w:bookmarkEnd w:id="127"/>
      <w:r/>
      <w:bookmarkEnd w:id="128"/>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投标人的澄清、说明或者补正不得超出投标文件的范围或者改变投标文件的实质性内容。</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评标委员会并非对每个投标人都做澄清要求。</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25.3接到评委会澄清、说明和补正要求的投标人如未按规定做出澄清、说明和补正，其风险由投标人自行承担。</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26、对投标文件的初审</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26.1投标文件初审分为资格审查和符合性审查。</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1118"/>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采购人在进行资格性审查的同时，将在“信用中国”网站（www.creditchina.gov.cn）查询投标人的信用记录，以确定投标人是否具备投标资格,查询结果留存并归档。</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26.3如果投标文件实质上没有响应招标文件的要求，评委会将予以拒绝，投标人不得通过修改或撤销不合要求的偏离或保留而使其投标成为实质性响应的投标。</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26.4评委会将对确定为实质性响应的投标进行进一步审核，看其是否有计算上或累加上的算术错误，修正错误的原则如下：</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（1）投标文件中开标一览表内容与投标文件中相应内容不一致的，以开标一览表为准。</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（2）大写金额和小写金额不一致的，以大写金额为准。</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（3）单价金额小数点或者百分比有明显错位的，以开标一览表的总价为准，并修改单价。</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（4）总价金额与按单价汇总金额不一致的，以单价金额计算结果为准。</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同时出现两种以上错误的，按照前款规定的顺序修正。</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bookmarkStart w:id="129" w:name="_Toc20823306"/>
      <w:r/>
      <w:bookmarkStart w:id="130" w:name="_Toc513029234"/>
      <w:r/>
      <w:bookmarkStart w:id="131" w:name="_Toc16938550"/>
      <w:r>
        <w:rPr>
          <w:rFonts w:hint="eastAsia" w:ascii="宋体" w:hAnsi="宋体" w:eastAsia="宋体" w:cs="宋体"/>
          <w:color w:val="auto"/>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9"/>
      <w:r/>
      <w:bookmarkEnd w:id="130"/>
      <w:r/>
      <w:bookmarkEnd w:id="131"/>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非单一产品采购项目，招标文件中将载明其中的核心产品。多家投标人提供的核心产品品牌相同的，按前两款规定处理。</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26.7投标人在开、评标全过程中应保持通讯畅通，及时登录苏采云系统查阅、答复相关信息，并安排专人与采购代理机构及评标委员会联系。</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27、无效投标条款和废标条款</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bookmarkStart w:id="132" w:name="_Toc16938551"/>
      <w:r/>
      <w:bookmarkStart w:id="133" w:name="_Toc20823307"/>
      <w:r/>
      <w:bookmarkStart w:id="134" w:name="_Toc513029235"/>
      <w:r>
        <w:rPr>
          <w:rFonts w:hint="eastAsia" w:ascii="宋体" w:hAnsi="宋体" w:eastAsia="宋体" w:cs="宋体"/>
          <w:color w:val="auto"/>
          <w:szCs w:val="24"/>
          <w:highlight w:val="none"/>
        </w:rPr>
        <w:t xml:space="preserve">27.1无效投标条款</w:t>
      </w:r>
      <w:bookmarkEnd w:id="132"/>
      <w:r/>
      <w:bookmarkEnd w:id="133"/>
      <w:r/>
      <w:bookmarkEnd w:id="134"/>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27.1.1 投标人在苏采云系统规定的时间内未成功解密电子投标文件的。</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27.1.2 投标人未按照招标文件要求上传电子投标文件的。</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27.1.3同一投标人提交两个（含两个）以上不同的投标报价的。</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27.1.4投标人不具备招标文件中规定资格要求的。</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27.1.5投标人的报价超过了采购预算或最高限价的。</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27.1.6未通过符合性审查的。</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27.1.7不符合招标文件中规定的实质性要求和条件的（</w:t>
      </w:r>
      <w:r>
        <w:rPr>
          <w:rFonts w:hint="eastAsia" w:ascii="宋体" w:hAnsi="宋体" w:eastAsia="宋体" w:cs="宋体"/>
          <w:i/>
          <w:color w:val="auto"/>
          <w:szCs w:val="24"/>
          <w:highlight w:val="none"/>
          <w:u w:val="single"/>
        </w:rPr>
        <w:t xml:space="preserve">本招标文件中斜体且有下划线部分为实质性要求和条件）。</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27.1.9投标文件含有采购人不能接受的附加条件的。</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27.1.10投标人不能证明其报价合理性的，评标委员会应当将其作为无效投标处理。</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（一）评审过程中出现下列情形之一的，评标委员会应当启动异常低价投标审查程序：</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1.投标报价低于采购项目预算50%的，即投标报价&lt;采购项目预算×50%；</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2.投标报价低于采购项目最高限价45%的，即投标报价&lt;采购项目最高限价×45%；</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3.评标委员会认定的供应商报价过低、有可能影响产品质量或者不能诚信履约的其他情形。</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27.1.12投标文件未按照招标文件要求加盖CA电子公章的。</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27.1.13其他法律、法规及本招标文件规定的属无效投标的情形。</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27.2废标条款</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27.2.1符合专业条件的供应商或者对招标文件作实质响应的供应商不足三家的。</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27.2.2出现影响采购公正的违法、违规行为的。</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27.2.3因重大变故，采购任务取消的。</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27.2.4评标委员会认定招标文件存在歧义、重大缺陷导致评审工作无法进行。</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27.2.5因苏采云系统系统故障原因造成开标不成功的。</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27.3投标截止时间结束后参加投标的供应商不足三家的处理：</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27.3.1如出现投标截止时间结束后参加投标的供应商或者在评标期间对招标文件做出实质响应的供应商不足三家情况，按政府采购相关规定执行。</w:t>
      </w:r>
      <w:r/>
    </w:p>
    <w:p>
      <w:pPr>
        <w:pStyle w:val="1118"/>
        <w:ind w:firstLine="482"/>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35" w:name="_Toc120614219"/>
      <w:r>
        <w:rPr>
          <w:rFonts w:hint="eastAsia" w:ascii="宋体" w:hAnsi="宋体" w:eastAsia="宋体" w:cs="宋体"/>
          <w:b/>
          <w:color w:val="auto"/>
          <w:szCs w:val="24"/>
          <w:highlight w:val="none"/>
        </w:rPr>
        <w:t xml:space="preserve">六、定标</w:t>
      </w:r>
      <w:bookmarkEnd w:id="135"/>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36" w:name="_Toc20823310"/>
      <w:r/>
      <w:bookmarkStart w:id="137" w:name="_Toc16938554"/>
      <w:r/>
      <w:bookmarkStart w:id="138" w:name="_Toc513029238"/>
      <w:r>
        <w:rPr>
          <w:rFonts w:hint="eastAsia" w:ascii="宋体" w:hAnsi="宋体" w:eastAsia="宋体" w:cs="宋体"/>
          <w:color w:val="auto"/>
          <w:szCs w:val="24"/>
          <w:highlight w:val="none"/>
        </w:rPr>
        <w:t xml:space="preserve">28、</w:t>
      </w:r>
      <w:bookmarkEnd w:id="136"/>
      <w:r>
        <w:rPr>
          <w:rFonts w:hint="eastAsia" w:ascii="宋体" w:hAnsi="宋体" w:eastAsia="宋体" w:cs="宋体"/>
          <w:color w:val="auto"/>
          <w:szCs w:val="24"/>
          <w:highlight w:val="none"/>
        </w:rPr>
        <w:t xml:space="preserve">确定</w:t>
      </w:r>
      <w:bookmarkEnd w:id="137"/>
      <w:r/>
      <w:bookmarkEnd w:id="138"/>
      <w:r>
        <w:rPr>
          <w:rFonts w:hint="eastAsia" w:ascii="宋体" w:hAnsi="宋体" w:eastAsia="宋体" w:cs="宋体"/>
          <w:color w:val="auto"/>
          <w:szCs w:val="24"/>
          <w:highlight w:val="none"/>
        </w:rPr>
        <w:t xml:space="preserve">中标单位</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28.1中标候选人的选取原则和数量见招标文件第五章规定。 </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28.2采购人应根据评委会推荐的中标候选人确定中标人。</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28.3采购代理机构将在“中国政府采购网</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rPr>
        <w:t xml:space="preserve">“江苏政府采购网”、“盐城市政府采购网</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rPr>
        <w:t xml:space="preserve">发布中标公告，公告期限为1个工作日。</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28.4若有充分证据证明，中标人出现下列情况之一的，一经查实，将被取消中标资格：</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28.4.1提供虚假材料谋取中标的。</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28.4.2向采购人、采购代理机构行贿或者提供其他不正当利益的。</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28.4.3属于本文件规定的无效条件，但在评标过程中又未被评委会发现的。</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28.4.4与采购人或者其他供应商恶意串通的。</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28.4.5采取不正当手段诋毁、排挤其他供应商的。</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bookmarkStart w:id="139" w:name="_Toc200451960"/>
      <w:r>
        <w:rPr>
          <w:rFonts w:hint="eastAsia" w:ascii="宋体" w:hAnsi="宋体" w:eastAsia="宋体" w:cs="宋体"/>
          <w:color w:val="auto"/>
          <w:szCs w:val="24"/>
          <w:highlight w:val="none"/>
        </w:rPr>
        <w:t xml:space="preserve">28.5.有下列情形之一的，视为投标人串通投标，投标无效：</w:t>
      </w:r>
      <w:bookmarkEnd w:id="139"/>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28.5.1不同投标人的投标文件由同一单位或者个人编制；</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28.5.2不同投标人委托同一单位或者个人办理投标事宜；</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28.5.3不同投标人的投标文件载明的项目管理成员或者联系人员为同一人；</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28.5.4不同投标人的投标文件异常一致或者投标报价呈规律性差异；</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29、质疑处理</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29.1提出质疑的供应商应当是参与所质疑项目采购活动的供应商。潜在供应商依法获取其可质疑的采购文件的，可以对采购文件提出质疑。</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29.4条款的规定向采购代理机构或采购人提出质疑。上述应知其权益受到损害之日，是指：</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29.2.1对可以质疑的采购文件提出质疑的，为收到采购文件之日或者采购文件公告期限届满之日；</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29.2.2对采购过程提出质疑的，为各采购程序环节结束之日；</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29.2.3对中标或者成交结果提出质疑的，为中标或者成交结果公告期限届满之日。</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采购人及采购代理机构只接收以纸质原件形式送达的质疑,采购人和采购代理机构不接受未填写快递运单的快件。联系地址及联系方式同招标公告。</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29.5以下情形的质疑不予受理</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29.5.1内容不符合《政府采购质疑和投诉办法》第十二条规定的质疑。</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29.5.2超出政府采购法定期限的质疑。</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29.5.3以传真、电子邮件等方式递交的非原件形式的质疑。</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29.5.4未参加投标活动的供应商或在投标活动中自身权益未受到损害的供应商所提出的质疑。</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29.5.5供应商组成联合体参加投标，联合体中任何一方或多方未按要求签字、盖章、加盖公章的质疑。</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30、中标通知书</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118"/>
        <w:ind w:firstLine="482"/>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40" w:name="_Toc16938552"/>
      <w:r/>
      <w:bookmarkStart w:id="141" w:name="_Toc120614220"/>
      <w:r/>
      <w:bookmarkStart w:id="142" w:name="_Toc20823308"/>
      <w:r/>
      <w:bookmarkStart w:id="143" w:name="_Toc513029236"/>
      <w:r>
        <w:rPr>
          <w:rFonts w:hint="eastAsia" w:ascii="宋体" w:hAnsi="宋体" w:eastAsia="宋体" w:cs="宋体"/>
          <w:b/>
          <w:color w:val="auto"/>
          <w:szCs w:val="24"/>
          <w:highlight w:val="none"/>
        </w:rPr>
        <w:t xml:space="preserve">七、授予合同</w:t>
      </w:r>
      <w:bookmarkEnd w:id="140"/>
      <w:r/>
      <w:bookmarkEnd w:id="141"/>
      <w:r/>
      <w:bookmarkEnd w:id="142"/>
      <w:r/>
      <w:bookmarkEnd w:id="143"/>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44" w:name="_Toc513029237"/>
      <w:r/>
      <w:bookmarkStart w:id="145" w:name="_Toc20823309"/>
      <w:r/>
      <w:bookmarkStart w:id="146" w:name="_Toc16938553"/>
      <w:r>
        <w:rPr>
          <w:rFonts w:hint="eastAsia" w:ascii="宋体" w:hAnsi="宋体" w:eastAsia="宋体" w:cs="宋体"/>
          <w:color w:val="auto"/>
          <w:szCs w:val="24"/>
          <w:highlight w:val="none"/>
        </w:rPr>
        <w:t xml:space="preserve">31.签订合同</w:t>
      </w:r>
      <w:bookmarkEnd w:id="144"/>
      <w:r/>
      <w:bookmarkEnd w:id="145"/>
      <w:r/>
      <w:bookmarkEnd w:id="146"/>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31.l中标人应当在中标通知书发出之日起三十日内，按照招标文件确定的事项与采购人签订政府采购合同。</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31.2招标文件、中标人的投标文件及招标过程中有关澄清、承诺文件均应作为合同附件。</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31.3签订合同后，</w:t>
      </w:r>
      <w:r>
        <w:rPr>
          <w:rFonts w:hint="eastAsia" w:ascii="宋体" w:hAnsi="宋体" w:eastAsia="宋体" w:cs="宋体"/>
          <w:i/>
          <w:color w:val="auto"/>
          <w:szCs w:val="24"/>
          <w:highlight w:val="none"/>
          <w:u w:val="single"/>
        </w:rPr>
        <w:t xml:space="preserve">中标人不得将合同标的进行转包</w:t>
      </w:r>
      <w:r>
        <w:rPr>
          <w:rFonts w:hint="eastAsia" w:ascii="宋体" w:hAnsi="宋体" w:eastAsia="宋体" w:cs="宋体"/>
          <w:color w:val="auto"/>
          <w:szCs w:val="24"/>
          <w:highlight w:val="none"/>
        </w:rPr>
        <w:t xml:space="preserve">。未经采购人同意，中标人也不得采用分包的形式履行合同，否则采购人有权终止合同。转包或分包造成采购人损失的，中标人应承担相应赔偿责任。</w:t>
      </w:r>
      <w:r/>
    </w:p>
    <w:p>
      <w:pPr>
        <w:pStyle w:val="1118"/>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32、货物（包含与货物相关的服务）的追加</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bookmarkStart w:id="147" w:name="_Toc479757207"/>
      <w:r/>
      <w:bookmarkStart w:id="148" w:name="_Toc20823314"/>
      <w:r/>
      <w:bookmarkStart w:id="149" w:name="_Toc16938558"/>
      <w:r/>
      <w:bookmarkStart w:id="150" w:name="_Toc513029242"/>
      <w:r/>
      <w:bookmarkStart w:id="151" w:name="_Toc120614221"/>
      <w:r>
        <w:rPr>
          <w:rFonts w:hint="eastAsia" w:ascii="宋体" w:hAnsi="宋体" w:eastAsia="宋体" w:cs="宋体"/>
          <w:color w:val="auto"/>
          <w:szCs w:val="24"/>
          <w:highlight w:val="none"/>
        </w:rPr>
        <w:t xml:space="preserve">33、</w:t>
      </w:r>
      <w:bookmarkEnd w:id="147"/>
      <w:r/>
      <w:bookmarkEnd w:id="148"/>
      <w:r/>
      <w:bookmarkEnd w:id="149"/>
      <w:r/>
      <w:bookmarkEnd w:id="150"/>
      <w:r/>
      <w:bookmarkEnd w:id="151"/>
      <w:r>
        <w:rPr>
          <w:rFonts w:hint="eastAsia" w:ascii="宋体" w:hAnsi="宋体" w:eastAsia="宋体" w:cs="宋体"/>
          <w:color w:val="auto"/>
          <w:szCs w:val="24"/>
          <w:highlight w:val="none"/>
        </w:rPr>
        <w:t xml:space="preserve">政府采购政策功能落实</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33.1政府采购线上合同信用融资政策</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33.2进口产品</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33.3中小企业、监狱企业及残疾人福利性单位</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33.3.1中小企业定义：</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中小企业是</w:t>
      </w:r>
      <w:r>
        <w:rPr>
          <w:rFonts w:hint="eastAsia" w:ascii="宋体" w:hAnsi="宋体" w:eastAsia="宋体" w:cs="宋体"/>
          <w:color w:val="auto"/>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33.3.2供应商提供的货物、工程或者服务符合下列情形的，享受中小企业扶持政策：</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33.3.2.1在货物采购项目中，货物由中小企业制造，即货物由中小企业生产且使用该中小企业商号或者注册商标；</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33.3.2.2在工程采购项目中，工程由中小企业承建，即工程施工单位为中小企业；</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33.3.2.3在服务采购项目中，服务由中小企业承接，即提供服务的人员为中小企业依照《中华人民共和国劳动合同法》订立劳动合同的从业人员。</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33.3.3在货物采购项目中，供应商提供的货物既有中小企业制造货物，也有大型企业制造货物的，不享受中小企业扶持政策。</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33.3.4以联合体形式参加政府采购活动，联合体各方均为中小企业的，联合体视同中小企业。其中，联合体各方均为小微企业的，联合体视同小微企业。</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33.3.6残疾人福利单位定义：享受政府采购支持政策的残疾人福利性单位应当同时满足以下条件：</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33.3.6.1安置的残疾人占本单位在职职工人数的比例不低于25%（含25%），并且安置的残疾人人数不少于10 人（含10 人）；</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33.3.6.2依法与安置的每位残疾人签订了一年以上（含一年）的劳动合同或服务协议；</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33.3.6.3为安置的每位残疾人按月足额缴纳了基本养老保险、基本医疗保险、失业保险、工伤保险和生育保险等社会保险费；</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33.3.6.4通过银行等金融机构向安置的每位残疾人，按月支付了不低于单位所在区县适用的经省级人民政府批准的月最低工资标准的工资；</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33.3.6.5提供本单位制造的货物、承担的工程或者服务（以下简称产品），或者提供其他残疾人福利性单位制造的货物（不包括使用非残疾人福利性单位注册商标的货物）；</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33.3.7本项目是否专门面向中小企业预留采购份额见第一章《招标公告》。</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33.3.8采购标的对应的中小企业划分标准所属行业见第四章《采购需求》。</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33.3.9小微企业价格评审优惠的政策：见第五章《评标方法和评标标准》。</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33.4政府采购节能产品、环境标志产品</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33.4.1严格执行政府采购关于支持</w:t>
      </w:r>
      <w:r>
        <w:rPr>
          <w:rFonts w:hint="eastAsia" w:ascii="宋体" w:hAnsi="宋体" w:eastAsia="宋体" w:cs="宋体"/>
          <w:color w:val="auto"/>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33.5绿色包装</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33.6政府采购创新产品</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采购人优先采购各级政府部门公开发布的有效期内的创新产品、创新服务、首台套、首购首用等《目录》的创新产品。</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33.7绿色数据中心政策 </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33.8履约保证金政策</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确需收取履约保证金的，履约保证金的缴纳形式：</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供应商应当以支票、汇票、本票或者金融机构、担保机构出具的保函</w:t>
      </w:r>
      <w:r>
        <w:rPr>
          <w:rFonts w:hint="eastAsia" w:cs="宋体"/>
          <w:color w:val="auto"/>
          <w:szCs w:val="24"/>
          <w:highlight w:val="none"/>
          <w:lang w:eastAsia="zh-CN"/>
        </w:rPr>
        <w:t xml:space="preserve">、</w:t>
      </w:r>
      <w:r>
        <w:rPr>
          <w:rFonts w:hint="eastAsia" w:ascii="宋体" w:hAnsi="宋体" w:eastAsia="宋体" w:cs="宋体"/>
          <w:color w:val="auto"/>
          <w:szCs w:val="24"/>
          <w:highlight w:val="none"/>
        </w:rPr>
        <w:t xml:space="preserve">电子履约保函（保险）等非现金形式提交履约保证金。依据《关于在全省政府采购领域推行电子履约保函（保险）的通知》，鼓励供应商自愿使用电子履约保函（保险）代替缴纳履约保证金。</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如以履约保函（保险）形式缴纳履约保证金，供应商可通过政府采购电子履约保函（保险）平台（www.jsdzbh.com）在线申请履约保函（保险）。</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 预付款制度</w:t>
      </w:r>
      <w:r/>
    </w:p>
    <w:p>
      <w:pPr>
        <w:pStyle w:val="1118"/>
        <w:ind w:firstLine="480"/>
        <w:jc w:val="both"/>
        <w:pageBreakBefore w:val="0"/>
        <w:spacing w:beforeAutospacing="0" w:afterAutospacing="0"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Cs w:val="24"/>
          <w:highlight w:val="none"/>
        </w:rPr>
        <w:t xml:space="preserve">本项目落实预付款制度，预付款比例为</w:t>
      </w: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%。在签订合同时，中标、成交供应商明确书面表示无需预付款或者主动要求降低预付款比例的，采购人可就预付款比例作相应调整。  </w:t>
      </w:r>
      <w:r>
        <w:rPr>
          <w:rFonts w:hint="eastAsia" w:ascii="宋体" w:hAnsi="宋体" w:eastAsia="宋体" w:cs="宋体"/>
          <w:color w:val="auto"/>
          <w:highlight w:val="none"/>
        </w:rPr>
        <w:t xml:space="preserve">  </w:t>
      </w:r>
      <w:r/>
    </w:p>
    <w:p>
      <w:pPr>
        <w:pStyle w:val="111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color w:val="auto"/>
          <w:sz w:val="24"/>
          <w:szCs w:val="24"/>
          <w:highlight w:val="none"/>
        </w:rPr>
      </w:pPr>
      <w:r>
        <w:rPr>
          <w:rFonts w:hint="eastAsia" w:ascii="宋体" w:hAnsi="宋体" w:eastAsia="宋体" w:cs="宋体"/>
          <w:bCs/>
          <w:color w:val="auto"/>
          <w:sz w:val="44"/>
          <w:highlight w:val="none"/>
        </w:rPr>
        <w:br w:type="page" w:clear="all"/>
      </w:r>
      <w:r>
        <w:rPr>
          <w:rFonts w:hint="eastAsia" w:ascii="宋体" w:hAnsi="宋体" w:eastAsia="宋体" w:cs="宋体"/>
          <w:b/>
          <w:bCs/>
          <w:color w:val="auto"/>
          <w:sz w:val="36"/>
          <w:szCs w:val="36"/>
          <w:highlight w:val="none"/>
        </w:rPr>
        <w:t xml:space="preserve">第三章  合同条款及格式</w:t>
      </w:r>
      <w:r/>
    </w:p>
    <w:p>
      <w:pPr>
        <w:ind w:left="0"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bookmarkStart w:id="152" w:name="_Toc16938559"/>
      <w:r/>
      <w:bookmarkStart w:id="153" w:name="_Toc20823315"/>
      <w:r/>
      <w:bookmarkStart w:id="154" w:name="_Toc513029243"/>
      <w:r>
        <w:rPr>
          <w:rFonts w:hint="eastAsia" w:ascii="宋体" w:hAnsi="宋体" w:eastAsia="宋体" w:cs="宋体"/>
          <w:bCs/>
          <w:color w:val="auto"/>
          <w:sz w:val="24"/>
          <w:szCs w:val="24"/>
          <w:highlight w:val="none"/>
        </w:rPr>
        <w:t xml:space="preserve">以下为中标后签定本项目合同的通用条款，中标人不得提出实质性的修改，关于专用条款将由采购人与中标人结合本项目具体情况协商后签订。</w:t>
      </w:r>
      <w:r/>
    </w:p>
    <w:p>
      <w:pPr>
        <w:ind w:left="0"/>
        <w:jc w:val="center"/>
        <w:keepLines w:val="0"/>
        <w:keepNext w:val="0"/>
        <w:pageBreakBefore w:val="0"/>
        <w:spacing w:line="50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color w:val="auto"/>
          <w:sz w:val="24"/>
          <w:szCs w:val="24"/>
          <w:highlight w:val="none"/>
        </w:rPr>
        <w:t xml:space="preserve">政府采购合同（合同编号）</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hAnsi="宋体" w:cs="宋体"/>
          <w:color w:val="auto"/>
          <w:sz w:val="24"/>
          <w:szCs w:val="24"/>
          <w:highlight w:val="none"/>
          <w:lang w:eastAsia="zh-CN"/>
        </w:rPr>
        <w:t xml:space="preserve">区影剧院安全和维修项目（空调系统采购及安装）</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甲方：</w:t>
      </w:r>
      <w:r>
        <w:rPr>
          <w:rFonts w:hint="eastAsia" w:hAnsi="宋体" w:cs="宋体"/>
          <w:color w:val="auto"/>
          <w:sz w:val="24"/>
          <w:szCs w:val="24"/>
          <w:highlight w:val="none"/>
          <w:u w:val="single"/>
          <w:lang w:eastAsia="zh-CN"/>
        </w:rPr>
        <w:t xml:space="preserve">盐城市大丰区文化广电和旅游局</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lang w:val="en-US" w:eastAsia="zh-CN"/>
        </w:rPr>
        <w:t xml:space="preserve">                      </w:t>
      </w:r>
      <w:r/>
    </w:p>
    <w:p>
      <w:pPr>
        <w:pStyle w:val="944"/>
        <w:ind w:left="0"/>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hAnsi="宋体" w:cs="宋体"/>
          <w:color w:val="auto"/>
          <w:sz w:val="24"/>
          <w:szCs w:val="24"/>
          <w:highlight w:val="none"/>
          <w:u w:val="single"/>
          <w:lang w:eastAsia="zh-CN"/>
        </w:rPr>
        <w:t xml:space="preserve">区影剧院安全和维修项目（空调系统采购及安装）</w:t>
      </w:r>
      <w:r>
        <w:rPr>
          <w:rFonts w:hint="eastAsia" w:ascii="宋体" w:hAnsi="宋体" w:eastAsia="宋体" w:cs="宋体"/>
          <w:color w:val="auto"/>
          <w:sz w:val="24"/>
          <w:szCs w:val="24"/>
          <w:highlight w:val="none"/>
        </w:rPr>
        <w:t xml:space="preserve">公开招标的结果，签署本合同。</w:t>
      </w:r>
      <w:bookmarkEnd w:id="152"/>
      <w:r/>
      <w:bookmarkEnd w:id="153"/>
      <w:r/>
      <w:bookmarkEnd w:id="154"/>
      <w:r/>
      <w:r/>
    </w:p>
    <w:p>
      <w:pPr>
        <w:pStyle w:val="944"/>
        <w:ind w:left="0" w:firstLine="0"/>
        <w:keepLines w:val="0"/>
        <w:keepNext w:val="0"/>
        <w:pageBreakBefore w:val="0"/>
        <w:spacing w:line="400" w:lineRule="exact"/>
        <w:widowControl w:val="off"/>
        <w:rPr>
          <w:rFonts w:hint="eastAsia" w:ascii="宋体" w:hAnsi="宋体" w:eastAsia="宋体" w:cs="宋体"/>
          <w:b/>
          <w:color w:val="auto"/>
          <w:sz w:val="24"/>
          <w:szCs w:val="24"/>
          <w:highlight w:val="none"/>
          <w:lang w:val="en-US" w:eastAsia="zh-CN"/>
        </w:rPr>
      </w:pPr>
      <w:r/>
      <w:bookmarkStart w:id="155" w:name="_Toc20823346"/>
      <w:r/>
      <w:bookmarkStart w:id="156" w:name="_Toc16938590"/>
      <w:r/>
      <w:bookmarkStart w:id="157" w:name="_Toc120614244"/>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val="en-US" w:eastAsia="zh-CN"/>
        </w:rPr>
        <w:t xml:space="preserve">货物内容</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货物名称：</w:t>
      </w:r>
      <w:r>
        <w:rPr>
          <w:rFonts w:hint="eastAsia" w:hAnsi="宋体" w:cs="宋体"/>
          <w:color w:val="auto"/>
          <w:sz w:val="24"/>
          <w:szCs w:val="24"/>
          <w:highlight w:val="none"/>
          <w:lang w:eastAsia="zh-CN"/>
        </w:rPr>
        <w:t xml:space="preserve">区影剧院安全和维修项目（空调系统采购及安装）</w:t>
      </w:r>
      <w:r/>
    </w:p>
    <w:p>
      <w:pPr>
        <w:pStyle w:val="944"/>
        <w:ind w:left="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2、项目清单</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val="en-US" w:eastAsia="zh-CN"/>
        </w:rPr>
        <w:t xml:space="preserve">详见招标需求</w:t>
      </w:r>
      <w:r/>
    </w:p>
    <w:p>
      <w:pPr>
        <w:pStyle w:val="944"/>
        <w:ind w:left="0" w:firstLine="0"/>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本合同金额为：人民币（大写）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元整</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元）</w:t>
      </w:r>
      <w:r>
        <w:rPr>
          <w:rFonts w:hint="eastAsia" w:ascii="宋体" w:hAnsi="宋体" w:eastAsia="宋体" w:cs="宋体"/>
          <w:color w:val="auto"/>
          <w:sz w:val="24"/>
          <w:szCs w:val="24"/>
          <w:highlight w:val="none"/>
        </w:rPr>
        <w:t xml:space="preserve">。</w:t>
      </w:r>
      <w:r/>
    </w:p>
    <w:p>
      <w:pPr>
        <w:pStyle w:val="944"/>
        <w:ind w:left="0"/>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合同价应包括为完成本项目的所有内容，</w:t>
      </w:r>
      <w:r>
        <w:rPr>
          <w:rFonts w:hint="eastAsia" w:ascii="宋体" w:hAnsi="宋体" w:eastAsia="宋体" w:cs="宋体"/>
          <w:color w:val="auto"/>
          <w:sz w:val="24"/>
          <w:szCs w:val="24"/>
          <w:highlight w:val="none"/>
          <w:lang w:val="en-US" w:eastAsia="zh-CN"/>
        </w:rPr>
        <w:t xml:space="preserve">包括但不限于人工费、材料费、机械费、设备费、运杂费、包装费、保险费、制作安装费、调试费、验收费、售后服务费、招标代理费、管理费、利润、规费、税金等一切费用。乙方已充分考虑项目的规模、性质、供货期间的市场风险和国家政策性调整风险系数以及采购人对项目范围、供货期、质量等的要求，并已包含在合同价中，最终全费用综合单价不作调整</w:t>
      </w:r>
      <w:r>
        <w:rPr>
          <w:rFonts w:hint="eastAsia" w:ascii="宋体" w:hAnsi="宋体" w:eastAsia="宋体" w:cs="宋体"/>
          <w:color w:val="auto"/>
          <w:sz w:val="24"/>
          <w:highlight w:val="none"/>
          <w:lang w:eastAsia="zh-CN"/>
        </w:rPr>
        <w:t xml:space="preserve">。</w:t>
      </w:r>
      <w:r/>
    </w:p>
    <w:p>
      <w:pPr>
        <w:pStyle w:val="944"/>
        <w:ind w:left="0" w:firstLine="0"/>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乙方应按招标文件规定的时间向甲方提供使用货物的有关技术资料。</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4"/>
        <w:ind w:left="0" w:firstLine="0"/>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乙方应保证甲方在使用、接受本合同</w:t>
      </w:r>
      <w:r>
        <w:rPr>
          <w:rFonts w:hint="eastAsia" w:ascii="宋体" w:hAnsi="宋体" w:eastAsia="宋体" w:cs="宋体"/>
          <w:color w:val="auto"/>
          <w:sz w:val="24"/>
          <w:highlight w:val="none"/>
        </w:rPr>
        <w:t xml:space="preserve">货物和</w:t>
      </w:r>
      <w:r>
        <w:rPr>
          <w:rFonts w:hint="eastAsia" w:ascii="宋体" w:hAnsi="宋体" w:eastAsia="宋体" w:cs="宋体"/>
          <w:color w:val="auto"/>
          <w:sz w:val="24"/>
          <w:szCs w:val="24"/>
          <w:highlight w:val="none"/>
        </w:rPr>
        <w:t xml:space="preserve">服务或其任何一部分时不受第三方提出侵犯其专利权、版权、商标权和工业设计权等知识产权的起诉。一旦出现侵权，由乙方负全部责任。</w:t>
      </w:r>
      <w:r/>
    </w:p>
    <w:p>
      <w:pPr>
        <w:pStyle w:val="944"/>
        <w:ind w:left="0" w:firstLine="0"/>
        <w:keepLines w:val="0"/>
        <w:keepNext w:val="0"/>
        <w:pageBreakBefore w:val="0"/>
        <w:spacing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pStyle w:val="944"/>
        <w:ind w:left="0" w:firstLine="48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乙方保证所交付的</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的所有权完全属于乙方且无任何抵押、查封等产权瑕疵。</w:t>
      </w:r>
      <w:r/>
    </w:p>
    <w:p>
      <w:pPr>
        <w:pStyle w:val="944"/>
        <w:ind w:left="0" w:firstLine="0"/>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944"/>
        <w:ind w:lef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乙方交纳合同金额的</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作为本合同的履约保证金（甲方对AA评级及以上政府采购供应商</w:t>
      </w:r>
      <w:r>
        <w:rPr>
          <w:rFonts w:hint="eastAsia" w:ascii="宋体" w:hAnsi="宋体" w:eastAsia="宋体" w:cs="宋体"/>
          <w:color w:val="000000"/>
          <w:sz w:val="24"/>
          <w:szCs w:val="20"/>
          <w:highlight w:val="none"/>
          <w:lang w:val="en-US" w:eastAsia="zh-CN"/>
        </w:rPr>
        <w:t xml:space="preserve">（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pStyle w:val="944"/>
        <w:ind w:lef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履约保证金供应</w:t>
      </w:r>
      <w:r>
        <w:rPr>
          <w:rFonts w:hint="eastAsia" w:ascii="宋体" w:hAnsi="宋体" w:eastAsia="宋体" w:cs="宋体"/>
          <w:color w:val="000000"/>
          <w:sz w:val="24"/>
          <w:szCs w:val="20"/>
          <w:highlight w:val="none"/>
          <w:lang w:val="en-US" w:eastAsia="zh-CN"/>
        </w:rPr>
        <w:t xml:space="preserve">商应当以支票、汇票、本票或者金融机构、担保机构出具的保函、电子履约保函（保险）等非现金形式提交。</w:t>
      </w:r>
      <w:r/>
    </w:p>
    <w:p>
      <w:pPr>
        <w:pStyle w:val="944"/>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3、履约保证金退还：</w:t>
      </w:r>
      <w:r/>
    </w:p>
    <w:p>
      <w:pPr>
        <w:pStyle w:val="944"/>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3.1方式：无息退还至投标人缴纳履约保证金的账户。如为保函，在到期时自行失效。</w:t>
      </w:r>
      <w:r/>
    </w:p>
    <w:p>
      <w:pPr>
        <w:pStyle w:val="944"/>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3.2时间：验收合格且采购人收到发票后30日内。</w:t>
      </w:r>
      <w:r/>
    </w:p>
    <w:p>
      <w:pPr>
        <w:pStyle w:val="944"/>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3.3条件：按合同要求全部履约完成并经甲方验收合格，且甲方收到乙方出具的发票。</w:t>
      </w:r>
      <w:r/>
    </w:p>
    <w:p>
      <w:pPr>
        <w:pStyle w:val="944"/>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3.4不予退还情形：</w:t>
      </w:r>
      <w:r/>
    </w:p>
    <w:p>
      <w:pPr>
        <w:pStyle w:val="944"/>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除不可抗力情况外，乙方出现下列情形之一的，其履约保证金，甲方将视情节决定不予退还或部分不予退还。</w:t>
      </w:r>
      <w:r/>
    </w:p>
    <w:p>
      <w:pPr>
        <w:pStyle w:val="944"/>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（1）乙方无正当理由拒绝签订合同的，或者在签订合同时向甲方提出附加条件或者更改合同实质性内容要求的；</w:t>
      </w:r>
      <w:r/>
    </w:p>
    <w:p>
      <w:pPr>
        <w:pStyle w:val="944"/>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（2）乙方不履行与甲方订立的合同的；</w:t>
      </w:r>
      <w:r/>
    </w:p>
    <w:p>
      <w:pPr>
        <w:pStyle w:val="944"/>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（3）乙方所供货物或服务不符合招标文件规定要求的；</w:t>
      </w:r>
      <w:r/>
    </w:p>
    <w:p>
      <w:pPr>
        <w:pStyle w:val="944"/>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（4）乙方采取欺骗、弄虚作假方式投标的或与其它投标人串通投标的；</w:t>
      </w:r>
      <w:r/>
    </w:p>
    <w:p>
      <w:pPr>
        <w:pStyle w:val="944"/>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（5）乙方将合同内容转包、违法分包的；</w:t>
      </w:r>
      <w:r/>
    </w:p>
    <w:p>
      <w:pPr>
        <w:pStyle w:val="944"/>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（6）乙方故意捏造事实或伪造证明材料，进行虚假恶意投诉或反映的。</w:t>
      </w:r>
      <w:r/>
    </w:p>
    <w:p>
      <w:pPr>
        <w:pStyle w:val="944"/>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4、逾期退还的违约责任：甲方逾期无故未退还履约保证金的，按中国人民银行同期贷款基准利率上浮20%后的利率支付超期资金占用费，但因乙方自身原因导致无法及时退还的除外。</w:t>
      </w:r>
      <w:r/>
    </w:p>
    <w:p>
      <w:pPr>
        <w:ind w:left="0" w:firstLine="0"/>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七、转包或分包</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本合同范围的货物，应由乙方直接供应，不得转让他人供应；</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除非得到甲方的书面同意，乙方不得部分分包给他人供应。</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如有转让和未经甲方同意的分包行为，甲方有权给予终止合同。</w:t>
      </w:r>
      <w:r/>
    </w:p>
    <w:p>
      <w:pPr>
        <w:pStyle w:val="944"/>
        <w:ind w:left="0" w:firstLine="0"/>
        <w:keepLines w:val="0"/>
        <w:keepNext w:val="0"/>
        <w:pageBreakBefore w:val="0"/>
        <w:spacing w:line="400" w:lineRule="exact"/>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质保期及售后服务</w:t>
      </w:r>
      <w:r>
        <w:rPr>
          <w:rFonts w:hint="eastAsia" w:ascii="宋体" w:hAnsi="宋体" w:eastAsia="宋体" w:cs="宋体"/>
          <w:b/>
          <w:color w:val="auto"/>
          <w:sz w:val="24"/>
          <w:szCs w:val="24"/>
          <w:highlight w:val="none"/>
          <w:lang w:val="en-US" w:eastAsia="zh-CN"/>
        </w:rPr>
        <w:t xml:space="preserve">等</w:t>
      </w:r>
      <w:r/>
    </w:p>
    <w:p>
      <w:pPr>
        <w:ind w:right="0" w:firstLine="482"/>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（一）质保期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年，自验收合格之日起算</w:t>
      </w:r>
      <w:r>
        <w:rPr>
          <w:rFonts w:hint="eastAsia" w:ascii="宋体" w:hAnsi="宋体" w:eastAsia="宋体" w:cs="宋体"/>
          <w:bCs/>
          <w:color w:val="auto"/>
          <w:sz w:val="24"/>
          <w:szCs w:val="24"/>
          <w:highlight w:val="none"/>
          <w:u w:val="none"/>
          <w:lang w:val="en-US" w:eastAsia="zh-CN"/>
        </w:rPr>
        <w:t xml:space="preserve">（如乙方投标时承诺延长的，按乙方投标承诺为准）</w:t>
      </w:r>
      <w:r>
        <w:rPr>
          <w:rFonts w:hint="eastAsia" w:ascii="宋体" w:hAnsi="宋体" w:eastAsia="宋体" w:cs="宋体"/>
          <w:color w:val="auto"/>
          <w:sz w:val="24"/>
          <w:szCs w:val="24"/>
          <w:highlight w:val="none"/>
        </w:rPr>
        <w:t xml:space="preserve">。</w:t>
      </w:r>
      <w:r/>
    </w:p>
    <w:p>
      <w:pPr>
        <w:ind w:right="0" w:firstLine="482"/>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（二）售后服务</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所有的售后服务均由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受理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如果发生问题并且收到报告，</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应当在2小时内予以答复。</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质保期内每次制冷（制热）期开始前，</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免费的空调开机调试</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，每半年应对空调进行常规检查、调整和清洁保养，在质保期满时，投标人应对机组进行全面测试，保证无故障。</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发现设备存在问题，需要</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解决或配合解决时，</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在接到通知后</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小时内派有关人员到达现场，在48小时内排除故障。</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派往</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现场</w:t>
      </w:r>
      <w:r>
        <w:rPr>
          <w:rFonts w:hint="eastAsia" w:ascii="宋体" w:hAnsi="宋体" w:eastAsia="宋体" w:cs="宋体"/>
          <w:color w:val="auto"/>
          <w:sz w:val="24"/>
          <w:szCs w:val="24"/>
          <w:highlight w:val="none"/>
          <w:lang w:val="en-US" w:eastAsia="zh-CN"/>
        </w:rPr>
        <w:t xml:space="preserve">提供售后服务</w:t>
      </w:r>
      <w:r>
        <w:rPr>
          <w:rFonts w:hint="eastAsia" w:ascii="宋体" w:hAnsi="宋体" w:eastAsia="宋体" w:cs="宋体"/>
          <w:color w:val="auto"/>
          <w:sz w:val="24"/>
          <w:szCs w:val="24"/>
          <w:highlight w:val="none"/>
        </w:rPr>
        <w:t xml:space="preserve">的人员，应具有较高的业务素质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现场解决问题时，不得无故拖延或推迟，应为</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优质</w:t>
      </w:r>
      <w:r>
        <w:rPr>
          <w:rFonts w:hint="eastAsia" w:ascii="宋体" w:hAnsi="宋体" w:eastAsia="宋体" w:cs="宋体"/>
          <w:color w:val="auto"/>
          <w:sz w:val="24"/>
          <w:szCs w:val="24"/>
          <w:highlight w:val="none"/>
        </w:rPr>
        <w:t xml:space="preserve">的服务。</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必须无偿向</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提供系统运行初期的技术培训及质保期内的运行技术服务。</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在质保期内因设备质量问题造成的设备故障和零部件损坏，</w:t>
      </w:r>
      <w:r>
        <w:rPr>
          <w:rFonts w:hint="eastAsia" w:ascii="宋体" w:hAnsi="宋体" w:eastAsia="宋体" w:cs="宋体"/>
          <w:color w:val="auto"/>
          <w:sz w:val="24"/>
          <w:szCs w:val="24"/>
          <w:highlight w:val="none"/>
          <w:lang w:val="en-US" w:eastAsia="zh-CN"/>
        </w:rPr>
        <w:t xml:space="preserve">乙方须</w:t>
      </w:r>
      <w:r>
        <w:rPr>
          <w:rFonts w:hint="eastAsia" w:ascii="宋体" w:hAnsi="宋体" w:eastAsia="宋体" w:cs="宋体"/>
          <w:color w:val="auto"/>
          <w:sz w:val="24"/>
          <w:szCs w:val="24"/>
          <w:highlight w:val="none"/>
        </w:rPr>
        <w:t xml:space="preserve">无条件维修或更换，更换的零部件质保期顺延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因人为因素出现的故障不在免费保修范围内。</w:t>
      </w:r>
      <w:r/>
    </w:p>
    <w:p>
      <w:pPr>
        <w:ind w:right="0" w:firstLine="482"/>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（三）人员培训</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员工进行该技术内容操作使用和维护保养的培训不少于16小时。</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员工进行设备安全培训。</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提供设备运行、调试、维护过程中必要的专用工具、软件，以及对相关人员进行工艺设置、设备运行、调试和维护过程中相关的专用工具及软件使用的培训。</w:t>
      </w:r>
      <w:r/>
    </w:p>
    <w:p>
      <w:pPr>
        <w:pStyle w:val="944"/>
        <w:ind w:left="0"/>
        <w:keepLines w:val="0"/>
        <w:keepNext w:val="0"/>
        <w:pageBreakBefore w:val="0"/>
        <w:spacing w:line="400" w:lineRule="exact"/>
        <w:widowControl w:val="off"/>
        <w:rPr>
          <w:rFonts w:hint="eastAsia" w:ascii="宋体" w:hAnsi="宋体" w:eastAsia="宋体" w:cs="宋体"/>
          <w:bCs/>
          <w:color w:val="auto"/>
          <w:sz w:val="24"/>
          <w:szCs w:val="24"/>
          <w:highlight w:val="none"/>
          <w:u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应免费提供一定数量的培训资料。</w:t>
      </w:r>
      <w:r/>
    </w:p>
    <w:p>
      <w:pPr>
        <w:pStyle w:val="944"/>
        <w:ind w:left="0" w:firstLine="0"/>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九、交货期、交货方式及交货地点</w:t>
      </w:r>
      <w:r/>
    </w:p>
    <w:p>
      <w:pPr>
        <w:pStyle w:val="944"/>
        <w:ind w:left="0"/>
        <w:keepLines w:val="0"/>
        <w:keepNext w:val="0"/>
        <w:pageBreakBefore w:val="0"/>
        <w:spacing w:line="400" w:lineRule="exact"/>
        <w:widowControl w:val="off"/>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rPr>
        <w:t xml:space="preserve">1</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rPr>
        <w:t xml:space="preserve">交货期：</w:t>
      </w:r>
      <w:r>
        <w:rPr>
          <w:rFonts w:hint="eastAsia" w:ascii="宋体" w:hAnsi="宋体" w:eastAsia="宋体" w:cs="宋体"/>
          <w:color w:val="auto"/>
          <w:sz w:val="24"/>
          <w:szCs w:val="20"/>
          <w:highlight w:val="none"/>
          <w:lang w:eastAsia="zh-CN"/>
        </w:rPr>
        <w:t xml:space="preserve">合同签订后</w:t>
      </w:r>
      <w:r>
        <w:rPr>
          <w:rFonts w:hint="eastAsia" w:cs="宋体"/>
          <w:color w:val="auto"/>
          <w:sz w:val="24"/>
          <w:szCs w:val="20"/>
          <w:highlight w:val="none"/>
          <w:lang w:val="en-US" w:eastAsia="zh-CN"/>
        </w:rPr>
        <w:t xml:space="preserve">7</w:t>
      </w:r>
      <w:r>
        <w:rPr>
          <w:rFonts w:hint="eastAsia" w:ascii="宋体" w:hAnsi="宋体" w:eastAsia="宋体" w:cs="宋体"/>
          <w:color w:val="auto"/>
          <w:sz w:val="24"/>
          <w:szCs w:val="20"/>
          <w:highlight w:val="none"/>
          <w:lang w:eastAsia="zh-CN"/>
        </w:rPr>
        <w:t xml:space="preserve">日历天内完成设备供货及安装调试，并通过验收</w:t>
      </w:r>
      <w:r>
        <w:rPr>
          <w:rFonts w:hint="eastAsia" w:cs="宋体"/>
          <w:color w:val="auto"/>
          <w:sz w:val="24"/>
          <w:szCs w:val="20"/>
          <w:highlight w:val="none"/>
          <w:lang w:eastAsia="zh-CN"/>
        </w:rPr>
        <w:t xml:space="preserve">（须在2025年12月23日前完成采购及安装）</w:t>
      </w:r>
      <w:r>
        <w:rPr>
          <w:rFonts w:hint="eastAsia" w:ascii="宋体" w:hAnsi="宋体" w:eastAsia="宋体" w:cs="宋体"/>
          <w:bCs/>
          <w:color w:val="auto"/>
          <w:sz w:val="24"/>
          <w:szCs w:val="24"/>
          <w:highlight w:val="none"/>
          <w:u w:val="none"/>
          <w:lang w:eastAsia="zh-CN"/>
        </w:rPr>
        <w:t xml:space="preserve">。</w:t>
      </w:r>
      <w:r/>
    </w:p>
    <w:p>
      <w:pPr>
        <w:pStyle w:val="944"/>
        <w:ind w:left="0"/>
        <w:keepLines w:val="0"/>
        <w:keepNext w:val="0"/>
        <w:pageBreakBefore w:val="0"/>
        <w:spacing w:line="400" w:lineRule="exact"/>
        <w:widowControl w:val="off"/>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rPr>
        <w:t xml:space="preserve">2</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rPr>
        <w:t xml:space="preserve">交货方式：乙方送货上门并完成安装调试</w:t>
      </w:r>
      <w:r>
        <w:rPr>
          <w:rFonts w:hint="eastAsia" w:ascii="宋体" w:hAnsi="宋体" w:eastAsia="宋体" w:cs="宋体"/>
          <w:bCs/>
          <w:color w:val="auto"/>
          <w:sz w:val="24"/>
          <w:szCs w:val="24"/>
          <w:highlight w:val="none"/>
          <w:u w:val="none"/>
          <w:lang w:eastAsia="zh-CN"/>
        </w:rPr>
        <w:t xml:space="preserve">。</w:t>
      </w:r>
      <w:r/>
    </w:p>
    <w:p>
      <w:pPr>
        <w:pStyle w:val="944"/>
        <w:ind w:left="0"/>
        <w:keepLines w:val="0"/>
        <w:keepNext w:val="0"/>
        <w:pageBreakBefore w:val="0"/>
        <w:spacing w:line="400" w:lineRule="exact"/>
        <w:widowControl w:val="off"/>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rPr>
        <w:t xml:space="preserve">3</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rPr>
        <w:t xml:space="preserve">交货地点：</w:t>
      </w:r>
      <w:r>
        <w:rPr>
          <w:rFonts w:hint="eastAsia" w:ascii="宋体" w:hAnsi="宋体" w:eastAsia="宋体" w:cs="宋体"/>
          <w:bCs/>
          <w:color w:val="auto"/>
          <w:sz w:val="24"/>
          <w:szCs w:val="24"/>
          <w:highlight w:val="none"/>
          <w:u w:val="none"/>
          <w:lang w:val="en-US" w:eastAsia="zh-CN"/>
        </w:rPr>
        <w:t xml:space="preserve">甲方</w:t>
      </w:r>
      <w:r>
        <w:rPr>
          <w:rFonts w:hint="eastAsia" w:ascii="宋体" w:hAnsi="宋体" w:eastAsia="宋体" w:cs="宋体"/>
          <w:bCs/>
          <w:color w:val="auto"/>
          <w:sz w:val="24"/>
          <w:szCs w:val="24"/>
          <w:highlight w:val="none"/>
          <w:u w:val="none"/>
        </w:rPr>
        <w:t xml:space="preserve">指定的地点</w:t>
      </w:r>
      <w:r>
        <w:rPr>
          <w:rFonts w:hint="eastAsia" w:ascii="宋体" w:hAnsi="宋体" w:eastAsia="宋体" w:cs="宋体"/>
          <w:bCs/>
          <w:color w:val="auto"/>
          <w:sz w:val="24"/>
          <w:szCs w:val="24"/>
          <w:highlight w:val="none"/>
          <w:u w:val="none"/>
          <w:lang w:eastAsia="zh-CN"/>
        </w:rPr>
        <w:t xml:space="preserve">。</w:t>
      </w:r>
      <w:r/>
    </w:p>
    <w:p>
      <w:pPr>
        <w:pStyle w:val="944"/>
        <w:ind w:left="0" w:firstLine="0"/>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十、货款支付</w:t>
      </w:r>
      <w:r/>
    </w:p>
    <w:p>
      <w:pPr>
        <w:pStyle w:val="944"/>
        <w:ind w:left="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付款方式：</w:t>
      </w:r>
      <w:r/>
    </w:p>
    <w:p>
      <w:pPr>
        <w:pStyle w:val="944"/>
        <w:ind w:left="0"/>
        <w:keepLines w:val="0"/>
        <w:keepNext w:val="0"/>
        <w:pageBreakBefore w:val="0"/>
        <w:spacing w:line="400" w:lineRule="exact"/>
        <w:widowControl w:val="off"/>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合同签订后，甲方自收到发票后10个工作日内，支付合同金额的30%作为预付款（乙方明确书面表示无需预付款或者主动要求降低预付款比例的，甲方可就预付款比例作相应调整）</w:t>
      </w:r>
      <w:r>
        <w:rPr>
          <w:rFonts w:hint="eastAsia" w:hAnsi="宋体" w:cs="宋体"/>
          <w:bCs/>
          <w:color w:val="auto"/>
          <w:sz w:val="24"/>
          <w:szCs w:val="24"/>
          <w:highlight w:val="none"/>
          <w:u w:val="none"/>
          <w:lang w:val="en-US" w:eastAsia="zh-CN"/>
        </w:rPr>
        <w:t xml:space="preserve">，项目验收合格后付至合同价款的70%，验收合格满一年后付至审核价款的90%，余款待质保期满后一次性结清。</w:t>
      </w:r>
      <w:r/>
    </w:p>
    <w:p>
      <w:pPr>
        <w:pStyle w:val="944"/>
        <w:ind w:left="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none"/>
          <w:lang w:val="en-US" w:eastAsia="zh-CN"/>
        </w:rPr>
        <w:t xml:space="preserve">注：1、每次付款前乙方需开具合法有效的增值税发票（开具付款金额）给甲方，以上付款均无银行利息，一律通过银行结转。</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当采购数量与实际使用数量不一致时，乙方应根据实际使用量供货，合同的最终结算金额按实际使用量乘以成交单价进行计算。</w:t>
      </w:r>
      <w:r/>
    </w:p>
    <w:p>
      <w:pPr>
        <w:ind w:left="0" w:firstLine="0"/>
        <w:keepLines w:val="0"/>
        <w:keepNext w:val="0"/>
        <w:pageBreakBefore w:val="0"/>
        <w:spacing w:line="4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十一、税费</w:t>
      </w:r>
      <w:r/>
    </w:p>
    <w:p>
      <w:pPr>
        <w:ind w:left="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本合同执行中相关的一切税费均由乙方负担。</w:t>
      </w:r>
      <w:r/>
    </w:p>
    <w:p>
      <w:pPr>
        <w:pStyle w:val="944"/>
        <w:ind w:left="0" w:firstLine="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十二、质量保证及售后服务</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乙方应按招标文件规定的货物性能、技术要求、质量标准向甲方提供未经使用的全新产品。</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乙方提供的货物在质量期内因货物本身的质量问题发生故障，乙方应负责免费更换。对达不到技术要求者，根据实际情况，经双方协商，可按以下办法处理：</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2.1更换：由乙方承担所发生的全部费用。</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2.2贬值处理：由甲乙双方合议定价。</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2.3退货处理：乙方应退还甲方支付的合同款，同时应承担该货物的直接费用（运输、保险、检验、货款利息及银行手续费等）。</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3</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如在使用过程中发生质量问题，乙方在接到甲方通知后在</w:t>
      </w:r>
      <w:r>
        <w:rPr>
          <w:rFonts w:hint="eastAsia" w:ascii="宋体" w:hAnsi="宋体" w:eastAsia="宋体" w:cs="宋体"/>
          <w:color w:val="auto"/>
          <w:sz w:val="24"/>
          <w:szCs w:val="24"/>
          <w:highlight w:val="none"/>
          <w:u w:val="none"/>
          <w:lang w:val="en-US" w:eastAsia="zh-CN"/>
        </w:rPr>
        <w:t xml:space="preserve">12</w:t>
      </w:r>
      <w:r>
        <w:rPr>
          <w:rFonts w:hint="eastAsia" w:ascii="宋体" w:hAnsi="宋体" w:eastAsia="宋体" w:cs="宋体"/>
          <w:color w:val="auto"/>
          <w:sz w:val="24"/>
          <w:szCs w:val="24"/>
          <w:highlight w:val="none"/>
          <w:u w:val="none"/>
        </w:rPr>
        <w:t xml:space="preserve">小时内到达甲方现场。</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在质保期内，乙方应对货物出现的质量及安全问题负责处理解决并承担一切费用。</w:t>
      </w:r>
      <w:r/>
    </w:p>
    <w:p>
      <w:pPr>
        <w:ind w:left="0"/>
        <w:keepLines w:val="0"/>
        <w:keepNext w:val="0"/>
        <w:pageBreakBefore w:val="0"/>
        <w:spacing w:line="400" w:lineRule="exact"/>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5</w:t>
      </w:r>
      <w:r>
        <w:rPr>
          <w:rFonts w:hint="eastAsia" w:ascii="宋体" w:hAnsi="宋体" w:eastAsia="宋体" w:cs="宋体"/>
          <w:color w:val="auto"/>
          <w:sz w:val="24"/>
          <w:highlight w:val="none"/>
          <w:u w:val="none"/>
          <w:lang w:eastAsia="zh-CN"/>
        </w:rPr>
        <w:t xml:space="preserve">、</w:t>
      </w:r>
      <w:r>
        <w:rPr>
          <w:rFonts w:hint="eastAsia" w:ascii="宋体" w:hAnsi="宋体" w:eastAsia="宋体" w:cs="宋体"/>
          <w:color w:val="auto"/>
          <w:sz w:val="24"/>
          <w:highlight w:val="none"/>
          <w:u w:val="none"/>
        </w:rPr>
        <w:t xml:space="preserve">上述的货物免费保修期为</w:t>
      </w:r>
      <w:r>
        <w:rPr>
          <w:rFonts w:hint="eastAsia" w:ascii="宋体" w:hAnsi="宋体" w:eastAsia="宋体" w:cs="宋体"/>
          <w:color w:val="auto"/>
          <w:sz w:val="24"/>
          <w:highlight w:val="none"/>
          <w:u w:val="none"/>
          <w:lang w:val="en-US" w:eastAsia="zh-CN"/>
        </w:rPr>
        <w:t xml:space="preserve">3</w:t>
      </w:r>
      <w:r>
        <w:rPr>
          <w:rFonts w:hint="eastAsia" w:ascii="宋体" w:hAnsi="宋体" w:eastAsia="宋体" w:cs="宋体"/>
          <w:color w:val="auto"/>
          <w:sz w:val="24"/>
          <w:highlight w:val="none"/>
          <w:u w:val="none"/>
        </w:rPr>
        <w:t xml:space="preserve">年</w:t>
      </w:r>
      <w:r>
        <w:rPr>
          <w:rFonts w:hint="eastAsia" w:ascii="宋体" w:hAnsi="宋体" w:eastAsia="宋体" w:cs="宋体"/>
          <w:bCs/>
          <w:color w:val="auto"/>
          <w:sz w:val="24"/>
          <w:szCs w:val="24"/>
          <w:highlight w:val="none"/>
          <w:u w:val="none"/>
          <w:lang w:val="en-US" w:eastAsia="zh-CN"/>
        </w:rPr>
        <w:t xml:space="preserve">（如乙方投标时承诺延长的，按乙方投标承诺为准）</w:t>
      </w:r>
      <w:r>
        <w:rPr>
          <w:rFonts w:hint="eastAsia" w:ascii="宋体" w:hAnsi="宋体" w:eastAsia="宋体" w:cs="宋体"/>
          <w:color w:val="auto"/>
          <w:sz w:val="24"/>
          <w:highlight w:val="none"/>
          <w:u w:val="none"/>
        </w:rPr>
        <w:t xml:space="preserve">，因人为因素出现的故障不在免费保修范围内。超过免费质量保修期的机器设备，终身维修（除</w:t>
      </w:r>
      <w:r>
        <w:rPr>
          <w:rFonts w:hint="eastAsia" w:ascii="宋体" w:hAnsi="宋体" w:eastAsia="宋体" w:cs="宋体"/>
          <w:color w:val="auto"/>
          <w:sz w:val="24"/>
          <w:highlight w:val="none"/>
          <w:u w:val="none"/>
          <w:lang w:val="en-US" w:eastAsia="zh-CN"/>
        </w:rPr>
        <w:t xml:space="preserve">甲方</w:t>
      </w:r>
      <w:r>
        <w:rPr>
          <w:rFonts w:hint="eastAsia" w:ascii="宋体" w:hAnsi="宋体" w:eastAsia="宋体" w:cs="宋体"/>
          <w:color w:val="auto"/>
          <w:sz w:val="24"/>
          <w:highlight w:val="none"/>
          <w:u w:val="none"/>
        </w:rPr>
        <w:t xml:space="preserve">不再要求继续维修外），维修时只收部件成本费。</w:t>
      </w:r>
      <w:r/>
    </w:p>
    <w:p>
      <w:pPr>
        <w:ind w:left="0"/>
        <w:keepLines w:val="0"/>
        <w:keepNext w:val="0"/>
        <w:pageBreakBefore w:val="0"/>
        <w:spacing w:line="400" w:lineRule="exact"/>
        <w:widowControl w:val="off"/>
        <w:rPr>
          <w:rFonts w:hint="eastAsia" w:ascii="宋体" w:hAnsi="宋体" w:eastAsia="宋体" w:cs="宋体"/>
          <w:color w:val="auto"/>
          <w:sz w:val="24"/>
          <w:highlight w:val="none"/>
          <w:u w:val="none"/>
        </w:rPr>
      </w:pPr>
      <w:r>
        <w:rPr>
          <w:rFonts w:hint="eastAsia" w:ascii="宋体" w:hAnsi="宋体" w:eastAsia="宋体" w:cs="宋体"/>
          <w:bCs/>
          <w:color w:val="auto"/>
          <w:sz w:val="24"/>
          <w:highlight w:val="none"/>
          <w:u w:val="none"/>
        </w:rPr>
        <w:t xml:space="preserve">6</w:t>
      </w:r>
      <w:r>
        <w:rPr>
          <w:rFonts w:hint="eastAsia" w:ascii="宋体" w:hAnsi="宋体" w:eastAsia="宋体" w:cs="宋体"/>
          <w:bCs/>
          <w:color w:val="auto"/>
          <w:sz w:val="24"/>
          <w:highlight w:val="none"/>
          <w:u w:val="none"/>
          <w:lang w:eastAsia="zh-CN"/>
        </w:rPr>
        <w:t xml:space="preserve">、</w:t>
      </w:r>
      <w:r>
        <w:rPr>
          <w:rFonts w:hint="eastAsia" w:ascii="宋体" w:hAnsi="宋体" w:eastAsia="宋体" w:cs="宋体"/>
          <w:color w:val="auto"/>
          <w:sz w:val="24"/>
          <w:highlight w:val="none"/>
          <w:u w:val="none"/>
        </w:rPr>
        <w:t xml:space="preserve">乙方在供货前须提供所投产品原厂合格证供甲方核验，若乙方在供货前不能提供上述资料或提供不全的，甲方有权指定生产厂家直接供货，设备费用按生产厂家供货价直接从乙方合同价款中扣除，并对乙方处以该项设备生产厂家供货价款的2倍金额的罚金。</w:t>
      </w:r>
      <w:r/>
    </w:p>
    <w:p>
      <w:pPr>
        <w:pStyle w:val="944"/>
        <w:ind w:left="0" w:firstLine="0"/>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十三、调试和验收</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甲方对乙方提交的货物依据招标文件上的技术规格要求和国家有关质量标准进行现场初步验收，外观、说明书符合招标文件技术要求的，给予签收，初步验收不合格的不予签收。全部货物安装调试、试运行完毕后15个工作日内，由甲方组织相关人员，按照招标文件的要求和现行技术标准对所供货物的技术性能、参数、质量等进行验收，并形成验收意见。超过60个日历天未组织验收的，视为验收通过。</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2、乙方交货前应对产品作出全面检查和对验收文件进行整理，并列出清单，作为甲方收货验收和使用的技术条件依据，检验的结果应随货物交甲方。</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3、甲方对乙方提供的货物在使用前进行调试时，乙方需负责安装并培训甲方的使用操作人员，并协助甲方一起调试，直到符合技术要求，甲方才做最终验收。</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4、对技术复杂的货物，甲方可请国家认可的专业检测机构参与初步验收及最终验收，并由其出具质量检测报告。</w:t>
      </w:r>
      <w:r/>
    </w:p>
    <w:p>
      <w:pPr>
        <w:pStyle w:val="944"/>
        <w:ind w:left="0"/>
        <w:keepLines w:val="0"/>
        <w:keepNext w:val="0"/>
        <w:pageBreakBefore w:val="0"/>
        <w:spacing w:line="4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 xml:space="preserve">5、验收时乙方必须在现场，验收完毕后作出验收结果报告；验收费用由乙方承担。</w:t>
      </w:r>
      <w:r/>
    </w:p>
    <w:p>
      <w:pPr>
        <w:pStyle w:val="944"/>
        <w:ind w:left="0" w:firstLine="0"/>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十四、货物包装、发运及运输</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乙方应在货物发运前对其进行满足运输距离、防潮、防震、防锈和防破损装卸等要求包装，以保证货物安全运达甲方指定地点。</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使用说明书、质量检验证明书、随配附件和工具以及清单一并附于货物内。</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乙方在货物发运手续办理完毕后24小时内或货到甲方48小时前通知甲方，以准备接货。</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货物在交付甲方前发生的风险均由乙方负责。</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货物在规定的交付期限内由乙方送达甲方指定的地点视为交付，乙方同时需通知甲方货物已送达。</w:t>
      </w:r>
      <w:r/>
    </w:p>
    <w:p>
      <w:pPr>
        <w:pStyle w:val="944"/>
        <w:ind w:left="0" w:firstLine="0"/>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十五、违约责任</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甲方无正当理由拒收货物的，甲方向乙方偿付拒收货款总值的百分之五违约金。</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甲方无故逾期验收和办理货款支付手续的,甲方应按逾期付款总额每日万分之五向乙方支付违约金。</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44"/>
        <w:ind w:left="0" w:firstLine="0"/>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十六、不可抗力事件处理</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在合同有效期内，任何一方因不可抗力事件导致不能履行合同，则合同履行期可延长，其延长期与不可抗力影响期相同。</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不可抗力事件发生后，应立即通知对方，并寄送有关权威机构出具的证明。</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不可抗力事件延续120天以上，双方应通过友好协商，确定是否继续履行合同。</w:t>
      </w:r>
      <w:r/>
    </w:p>
    <w:p>
      <w:pPr>
        <w:pStyle w:val="944"/>
        <w:ind w:left="0" w:firstLine="0"/>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十七、诉讼</w:t>
      </w:r>
      <w:r/>
    </w:p>
    <w:p>
      <w:pPr>
        <w:pStyle w:val="944"/>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双方在执行合同中所发生的一切争议，应通过协商解决。如协商不成，可向合同签订地法院起诉，合同签订地在此约定为盐城市</w:t>
      </w:r>
      <w:r>
        <w:rPr>
          <w:rFonts w:hint="eastAsia" w:ascii="宋体" w:hAnsi="宋体" w:eastAsia="宋体" w:cs="宋体"/>
          <w:color w:val="auto"/>
          <w:sz w:val="24"/>
          <w:szCs w:val="24"/>
          <w:highlight w:val="none"/>
          <w:lang w:eastAsia="zh-CN"/>
        </w:rPr>
        <w:t xml:space="preserve">盐都区</w:t>
      </w:r>
      <w:r>
        <w:rPr>
          <w:rFonts w:hint="eastAsia" w:ascii="宋体" w:hAnsi="宋体" w:eastAsia="宋体" w:cs="宋体"/>
          <w:color w:val="auto"/>
          <w:sz w:val="24"/>
          <w:szCs w:val="24"/>
          <w:highlight w:val="none"/>
        </w:rPr>
        <w:t xml:space="preserve">。</w:t>
      </w:r>
      <w:r/>
    </w:p>
    <w:p>
      <w:pPr>
        <w:pStyle w:val="944"/>
        <w:ind w:left="0" w:firstLine="0"/>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十八、合同生效及其它</w:t>
      </w:r>
      <w:r/>
    </w:p>
    <w:p>
      <w:pPr>
        <w:pStyle w:val="944"/>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合同经双方法定代表人或授权委托代表人签字并加盖单位公章后生效。</w:t>
      </w:r>
      <w:r/>
    </w:p>
    <w:p>
      <w:pPr>
        <w:pStyle w:val="944"/>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本合同未尽事宜，遵照《</w:t>
      </w:r>
      <w:r>
        <w:rPr>
          <w:rFonts w:hint="eastAsia" w:ascii="宋体" w:hAnsi="宋体" w:eastAsia="宋体" w:cs="宋体"/>
          <w:b w:val="0"/>
          <w:bCs w:val="0"/>
          <w:color w:val="auto"/>
          <w:sz w:val="24"/>
          <w:szCs w:val="24"/>
          <w:highlight w:val="none"/>
          <w:lang w:eastAsia="zh-CN"/>
        </w:rPr>
        <w:t xml:space="preserve">民法典</w:t>
      </w:r>
      <w:r>
        <w:rPr>
          <w:rFonts w:hint="eastAsia" w:ascii="宋体" w:hAnsi="宋体" w:eastAsia="宋体" w:cs="宋体"/>
          <w:b w:val="0"/>
          <w:bCs w:val="0"/>
          <w:color w:val="auto"/>
          <w:sz w:val="24"/>
          <w:szCs w:val="24"/>
          <w:highlight w:val="none"/>
        </w:rPr>
        <w:t xml:space="preserve">》有关条文执行。</w:t>
      </w:r>
      <w:r/>
    </w:p>
    <w:p>
      <w:pPr>
        <w:pStyle w:val="944"/>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本合同正本一式</w:t>
      </w:r>
      <w:r>
        <w:rPr>
          <w:rFonts w:hint="eastAsia" w:ascii="宋体" w:hAnsi="宋体" w:eastAsia="宋体" w:cs="宋体"/>
          <w:b w:val="0"/>
          <w:bCs w:val="0"/>
          <w:color w:val="auto"/>
          <w:sz w:val="24"/>
          <w:szCs w:val="24"/>
          <w:highlight w:val="none"/>
          <w:lang w:val="en-US" w:eastAsia="zh-CN"/>
        </w:rPr>
        <w:t xml:space="preserve">肆</w:t>
      </w:r>
      <w:r>
        <w:rPr>
          <w:rFonts w:hint="eastAsia" w:ascii="宋体" w:hAnsi="宋体" w:eastAsia="宋体" w:cs="宋体"/>
          <w:b w:val="0"/>
          <w:bCs w:val="0"/>
          <w:color w:val="auto"/>
          <w:sz w:val="24"/>
          <w:szCs w:val="24"/>
          <w:highlight w:val="none"/>
        </w:rPr>
        <w:t xml:space="preserve">份，具有同等法律效力，甲乙</w:t>
      </w:r>
      <w:r>
        <w:rPr>
          <w:rFonts w:hint="eastAsia" w:ascii="宋体" w:hAnsi="宋体" w:eastAsia="宋体" w:cs="宋体"/>
          <w:b w:val="0"/>
          <w:bCs w:val="0"/>
          <w:color w:val="auto"/>
          <w:sz w:val="24"/>
          <w:szCs w:val="24"/>
          <w:highlight w:val="none"/>
          <w:lang w:eastAsia="zh-CN"/>
        </w:rPr>
        <w:t xml:space="preserve">双方各执贰份</w:t>
      </w:r>
      <w:r>
        <w:rPr>
          <w:rFonts w:hint="eastAsia" w:ascii="宋体" w:hAnsi="宋体" w:eastAsia="宋体" w:cs="宋体"/>
          <w:b w:val="0"/>
          <w:bCs w:val="0"/>
          <w:color w:val="auto"/>
          <w:sz w:val="24"/>
          <w:szCs w:val="24"/>
          <w:highlight w:val="none"/>
        </w:rPr>
        <w:t xml:space="preserve">。</w:t>
      </w:r>
      <w:r/>
    </w:p>
    <w:p>
      <w:pPr>
        <w:pStyle w:val="944"/>
        <w:ind w:left="0"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4"/>
        <w:ind w:left="0"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w:t>
      </w:r>
      <w:r/>
    </w:p>
    <w:p>
      <w:pPr>
        <w:pStyle w:val="944"/>
        <w:ind w:left="0"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w:t>
      </w:r>
      <w:r/>
    </w:p>
    <w:p>
      <w:pPr>
        <w:pStyle w:val="944"/>
        <w:ind w:left="0"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法定代表人或授权代表：</w:t>
      </w:r>
      <w:r/>
    </w:p>
    <w:p>
      <w:pPr>
        <w:pStyle w:val="944"/>
        <w:ind w:left="0"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                             年   月   日</w:t>
      </w:r>
      <w:bookmarkEnd w:id="155"/>
      <w:r/>
      <w:bookmarkEnd w:id="156"/>
      <w:r/>
      <w:bookmarkEnd w:id="157"/>
      <w:r/>
      <w:r/>
    </w:p>
    <w:p>
      <w:pPr>
        <w:ind w:firstLine="0"/>
        <w:jc w:val="center"/>
        <w:spacing w:line="240" w:lineRule="auto"/>
        <w:rPr>
          <w:rFonts w:hint="eastAsia" w:ascii="宋体" w:hAnsi="宋体" w:eastAsia="宋体" w:cs="宋体"/>
          <w:color w:val="000000"/>
          <w:sz w:val="32"/>
          <w:szCs w:val="32"/>
        </w:rPr>
      </w:pPr>
      <w:r/>
      <w:bookmarkStart w:id="158" w:name="MOFFICE_OUTDOC_NTDOC__TITLE"/>
      <w:r/>
      <w:r/>
    </w:p>
    <w:p>
      <w:pPr>
        <w:ind w:firstLine="0"/>
        <w:jc w:val="center"/>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政府采购合同履约验收书（参考格式）</w:t>
      </w:r>
      <w:r/>
    </w:p>
    <w:p>
      <w:pPr>
        <w:ind w:firstLine="600"/>
        <w:jc w:val="left"/>
        <w:spacing w:line="560" w:lineRule="exact"/>
        <w:rPr>
          <w:rFonts w:hint="eastAsia" w:ascii="宋体" w:hAnsi="宋体" w:eastAsia="宋体" w:cs="宋体"/>
          <w:color w:val="505050"/>
          <w:sz w:val="22"/>
          <w:szCs w:val="22"/>
        </w:rPr>
      </w:pPr>
      <w:r>
        <w:rPr>
          <w:rFonts w:hint="eastAsia" w:ascii="宋体" w:hAnsi="宋体" w:eastAsia="宋体" w:cs="宋体"/>
          <w:color w:val="000000"/>
          <w:sz w:val="22"/>
          <w:szCs w:val="22"/>
        </w:rPr>
        <w:t xml:space="preserve">根据政府采购合同（编号：</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）的约定，我单位组织对</w:t>
      </w:r>
      <w:r>
        <w:rPr>
          <w:rFonts w:hint="eastAsia" w:ascii="宋体" w:hAnsi="宋体" w:eastAsia="宋体" w:cs="宋体"/>
          <w:color w:val="000000"/>
          <w:sz w:val="22"/>
          <w:szCs w:val="22"/>
          <w:u w:val="single"/>
        </w:rPr>
        <w:t xml:space="preserve">（项目名称）</w:t>
      </w:r>
      <w:r>
        <w:rPr>
          <w:rFonts w:hint="eastAsia" w:ascii="宋体" w:hAnsi="宋体" w:eastAsia="宋体" w:cs="宋体"/>
          <w:color w:val="000000"/>
          <w:sz w:val="22"/>
          <w:szCs w:val="22"/>
        </w:rPr>
        <w:t xml:space="preserve">项目中标（成交）供应商</w:t>
      </w:r>
      <w:r>
        <w:rPr>
          <w:rFonts w:hint="eastAsia" w:ascii="宋体" w:hAnsi="宋体" w:eastAsia="宋体" w:cs="宋体"/>
          <w:color w:val="000000"/>
          <w:sz w:val="22"/>
          <w:szCs w:val="22"/>
          <w:u w:val="single"/>
        </w:rPr>
        <w:t xml:space="preserve">（公司名称）</w:t>
      </w:r>
      <w:r>
        <w:rPr>
          <w:rFonts w:hint="eastAsia" w:ascii="宋体" w:hAnsi="宋体" w:eastAsia="宋体" w:cs="宋体"/>
          <w:color w:val="000000"/>
          <w:sz w:val="22"/>
          <w:szCs w:val="22"/>
        </w:rPr>
        <w:t xml:space="preserve">提供的货物（工程、服务）进行了履约验收，验收情况如下：</w:t>
      </w:r>
      <w:bookmarkEnd w:id="158"/>
      <w:r/>
      <w:r/>
    </w:p>
    <w:tbl>
      <w:tblPr>
        <w:tblStyle w:val="936"/>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val="false"/>
          </w:tcPr>
          <w:p>
            <w:pPr>
              <w:ind w:firstLine="0"/>
              <w:jc w:val="left"/>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center"/>
              <w:spacing w:line="240" w:lineRule="auto"/>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验收情况和验收意见</w:t>
            </w:r>
            <w:r/>
          </w:p>
          <w:p>
            <w:pPr>
              <w:ind w:firstLine="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（可另附）</w:t>
            </w:r>
            <w:r/>
          </w:p>
          <w:p>
            <w:pPr>
              <w:ind w:firstLine="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44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验收小组（签字）：</w:t>
            </w:r>
            <w:r/>
          </w:p>
          <w:p>
            <w:pPr>
              <w:ind w:firstLine="0"/>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jc w:val="righ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jc w:val="righ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供应商确认意见（签章）：</w:t>
            </w:r>
            <w:r/>
          </w:p>
          <w:p>
            <w:pPr>
              <w:ind w:firstLine="0"/>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jc w:val="righ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采购人确认意见（签章）：</w:t>
            </w:r>
            <w:r/>
          </w:p>
          <w:p>
            <w:pPr>
              <w:ind w:firstLine="0"/>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jc w:val="righ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　　　　　                              年    月    日</w:t>
            </w:r>
            <w:r/>
          </w:p>
        </w:tc>
      </w:tr>
    </w:tbl>
    <w:p>
      <w:pPr>
        <w:rPr>
          <w:rFonts w:hint="eastAsia"/>
          <w:highlight w:val="none"/>
        </w:rPr>
        <w:sectPr>
          <w:footerReference w:type="default" r:id="rId15"/>
          <w:footerReference w:type="first" r:id="rId16"/>
          <w:footnotePr/>
          <w:endnotePr/>
          <w:type w:val="nextPage"/>
          <w:pgSz w:w="11906" w:h="16838" w:orient="portrait"/>
          <w:pgMar w:top="1417" w:right="1304" w:bottom="1417" w:left="1304" w:header="851" w:footer="907" w:gutter="0"/>
          <w:pgNumType w:start="1"/>
          <w:cols w:num="1" w:sep="0" w:space="0" w:equalWidth="1"/>
          <w:docGrid w:linePitch="360"/>
          <w:titlePg/>
        </w:sectPr>
      </w:pPr>
      <w:r>
        <w:rPr>
          <w:spacing w:val="4"/>
          <w:highlight w:val="none"/>
        </w:rPr>
        <w:t xml:space="preserve">对供应商提供的货物、工</w:t>
      </w:r>
      <w:r>
        <w:rPr>
          <w:spacing w:val="11"/>
          <w:highlight w:val="none"/>
        </w:rPr>
        <w:t xml:space="preserve"> </w:t>
      </w:r>
      <w:r>
        <w:rPr>
          <w:spacing w:val="4"/>
          <w:highlight w:val="none"/>
        </w:rPr>
        <w:t xml:space="preserve">程和服务进行逐一核对、验收。对报价异常低且经评审委员会启</w:t>
      </w:r>
      <w:r>
        <w:rPr>
          <w:spacing w:val="14"/>
          <w:highlight w:val="none"/>
        </w:rPr>
        <w:t xml:space="preserve"> </w:t>
      </w:r>
      <w:r>
        <w:rPr>
          <w:spacing w:val="4"/>
          <w:highlight w:val="none"/>
        </w:rPr>
        <w:t xml:space="preserve">动相关审查机制后仍中标或成交的供应商，采购人要重点关注其</w:t>
      </w:r>
      <w:r>
        <w:rPr>
          <w:spacing w:val="11"/>
          <w:highlight w:val="none"/>
        </w:rPr>
        <w:t xml:space="preserve"> </w:t>
      </w:r>
      <w:r>
        <w:rPr>
          <w:spacing w:val="4"/>
          <w:highlight w:val="none"/>
        </w:rPr>
        <w:t xml:space="preserve">履约能力、履约承诺、实际履约情况等。</w:t>
      </w:r>
      <w:r/>
    </w:p>
    <w:p>
      <w:pPr>
        <w:pStyle w:val="1119"/>
        <w:numPr>
          <w:ilvl w:val="0"/>
          <w:numId w:val="1"/>
        </w:numPr>
        <w:ind w:firstLine="0"/>
        <w:spacing w:line="24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采购需求</w:t>
      </w:r>
      <w:r/>
    </w:p>
    <w:p>
      <w:pPr>
        <w:pStyle w:val="959"/>
        <w:ind w:firstLine="482"/>
        <w:jc w:val="both"/>
        <w:spacing w:beforeAutospacing="0" w:afterAutospacing="0" w:line="0" w:lineRule="atLeast"/>
        <w:rPr>
          <w:rFonts w:hint="eastAsia" w:ascii="宋体" w:hAnsi="宋体" w:eastAsia="宋体" w:cs="宋体"/>
          <w:color w:val="auto"/>
          <w:highlight w:val="none"/>
        </w:rPr>
      </w:pPr>
      <w:r/>
      <w:bookmarkStart w:id="159" w:name="_Toc20825"/>
      <w:r>
        <w:rPr>
          <w:rFonts w:hint="eastAsia" w:ascii="宋体" w:hAnsi="宋体" w:eastAsia="宋体" w:cs="宋体"/>
          <w:b/>
          <w:bCs/>
          <w:color w:val="auto"/>
          <w:highlight w:val="none"/>
        </w:rPr>
        <w:t xml:space="preserve">项目属性</w:t>
      </w:r>
      <w:r>
        <w:rPr>
          <w:rFonts w:hint="eastAsia"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货物</w:t>
      </w:r>
      <w:r>
        <w:rPr>
          <w:rFonts w:hint="eastAsia" w:ascii="宋体" w:hAnsi="宋体" w:eastAsia="宋体" w:cs="宋体"/>
          <w:b/>
          <w:bCs/>
          <w:color w:val="auto"/>
          <w:highlight w:val="none"/>
        </w:rPr>
        <w:t xml:space="preserve">类项目。</w:t>
      </w:r>
      <w:r/>
    </w:p>
    <w:p>
      <w:pPr>
        <w:ind w:left="0" w:firstLine="0"/>
        <w:jc w:val="left"/>
        <w:keepLines w:val="0"/>
        <w:keepNext w:val="0"/>
        <w:pageBreakBefore w:val="0"/>
        <w:spacing w:line="500" w:lineRule="exact"/>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一、项目概述</w:t>
      </w:r>
      <w:bookmarkEnd w:id="159"/>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bookmarkStart w:id="160" w:name="_Toc97295831"/>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项目名称</w:t>
      </w:r>
      <w:bookmarkEnd w:id="160"/>
      <w:r>
        <w:rPr>
          <w:rFonts w:hint="eastAsia" w:ascii="宋体" w:hAnsi="宋体" w:eastAsia="宋体" w:cs="宋体"/>
          <w:color w:val="auto"/>
          <w:sz w:val="24"/>
          <w:szCs w:val="24"/>
          <w:highlight w:val="none"/>
          <w:lang w:eastAsia="zh-CN"/>
        </w:rPr>
        <w:t xml:space="preserve">：</w:t>
      </w:r>
      <w:r>
        <w:rPr>
          <w:rFonts w:hint="eastAsia" w:cs="宋体"/>
          <w:color w:val="auto"/>
          <w:sz w:val="24"/>
          <w:szCs w:val="24"/>
          <w:highlight w:val="none"/>
          <w:lang w:eastAsia="zh-CN"/>
        </w:rPr>
        <w:t xml:space="preserve">区影剧院安全和维修项目（空调系统采购及安装）</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2、采购内容：</w:t>
      </w:r>
      <w:r>
        <w:rPr>
          <w:rFonts w:hint="eastAsia" w:cs="宋体"/>
          <w:color w:val="auto"/>
          <w:sz w:val="24"/>
          <w:szCs w:val="20"/>
          <w:highlight w:val="none"/>
          <w:lang w:eastAsia="zh-CN"/>
        </w:rPr>
        <w:t xml:space="preserve">盐城市大丰区文化广电和旅游局</w:t>
      </w:r>
      <w:r>
        <w:rPr>
          <w:rFonts w:hint="eastAsia" w:ascii="宋体" w:hAnsi="宋体" w:eastAsia="宋体" w:cs="宋体"/>
          <w:color w:val="auto"/>
          <w:sz w:val="24"/>
          <w:szCs w:val="20"/>
          <w:highlight w:val="none"/>
          <w:lang w:eastAsia="zh-CN"/>
        </w:rPr>
        <w:t xml:space="preserve">为满足</w:t>
      </w:r>
      <w:r>
        <w:rPr>
          <w:rFonts w:hint="eastAsia" w:cs="宋体"/>
          <w:color w:val="auto"/>
          <w:sz w:val="24"/>
          <w:szCs w:val="20"/>
          <w:highlight w:val="none"/>
          <w:lang w:val="en-US" w:eastAsia="zh-CN"/>
        </w:rPr>
        <w:t xml:space="preserve">体育馆配套设施</w:t>
      </w:r>
      <w:r>
        <w:rPr>
          <w:rFonts w:hint="eastAsia" w:ascii="宋体" w:hAnsi="宋体" w:eastAsia="宋体" w:cs="宋体"/>
          <w:color w:val="auto"/>
          <w:sz w:val="24"/>
          <w:szCs w:val="20"/>
          <w:highlight w:val="none"/>
          <w:lang w:eastAsia="zh-CN"/>
        </w:rPr>
        <w:t xml:space="preserve">需要，</w:t>
      </w:r>
      <w:r>
        <w:rPr>
          <w:rFonts w:hint="eastAsia" w:cs="宋体"/>
          <w:color w:val="auto"/>
          <w:sz w:val="24"/>
          <w:szCs w:val="20"/>
          <w:highlight w:val="none"/>
          <w:lang w:eastAsia="zh-CN"/>
        </w:rPr>
        <w:t xml:space="preserve">需采购安装中央空调以及相配套管道、配件等。</w:t>
      </w:r>
      <w:r>
        <w:rPr>
          <w:rFonts w:hint="eastAsia" w:ascii="宋体" w:hAnsi="宋体" w:eastAsia="宋体" w:cs="宋体"/>
          <w:color w:val="auto"/>
          <w:sz w:val="24"/>
          <w:szCs w:val="24"/>
          <w:highlight w:val="none"/>
          <w:lang w:val="en-US" w:eastAsia="zh-CN"/>
        </w:rPr>
        <w:t xml:space="preserve">等内容</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3、质量标准：合格</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预算金额：</w:t>
      </w:r>
      <w:r>
        <w:rPr>
          <w:rFonts w:hint="eastAsia" w:cs="宋体"/>
          <w:color w:val="auto"/>
          <w:sz w:val="24"/>
          <w:szCs w:val="24"/>
          <w:highlight w:val="none"/>
          <w:lang w:val="en-US" w:eastAsia="zh-CN"/>
        </w:rPr>
        <w:t xml:space="preserve">106万元</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5、最高限价：</w:t>
      </w:r>
      <w:r>
        <w:rPr>
          <w:rFonts w:hint="eastAsia" w:cs="宋体"/>
          <w:color w:val="auto"/>
          <w:sz w:val="24"/>
          <w:szCs w:val="24"/>
          <w:highlight w:val="none"/>
          <w:lang w:val="en-US" w:eastAsia="zh-CN"/>
        </w:rPr>
        <w:t xml:space="preserve">106万元</w:t>
      </w:r>
      <w:r/>
    </w:p>
    <w:p>
      <w:pPr>
        <w:jc w:val="left"/>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bookmarkStart w:id="161" w:name="_Toc12376"/>
      <w:r/>
      <w:r/>
    </w:p>
    <w:p>
      <w:pPr>
        <w:jc w:val="left"/>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bookmarkEnd w:id="161"/>
      <w:r/>
      <w:r/>
    </w:p>
    <w:p>
      <w:pPr>
        <w:jc w:val="left"/>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128"/>
        <w:jc w:val="both"/>
        <w:pageBreakBefore w:val="0"/>
        <w:spacing w:before="0" w:after="0" w:line="500" w:lineRule="exact"/>
        <w:widowControl w:val="off"/>
        <w:rPr>
          <w:rFonts w:hint="eastAsia" w:ascii="宋体" w:hAnsi="宋体" w:eastAsia="宋体" w:cs="宋体"/>
          <w:b w:val="0"/>
          <w:color w:val="auto"/>
          <w:sz w:val="24"/>
          <w:szCs w:val="24"/>
          <w:highlight w:val="none"/>
          <w:lang w:val="en-US" w:eastAsia="zh-CN" w:bidi="ar-SA"/>
        </w:rPr>
        <w:sectPr>
          <w:headerReference w:type="default" r:id="rId11"/>
          <w:footerReference w:type="default" r:id="rId17"/>
          <w:footerReference w:type="first" r:id="rId18"/>
          <w:footnotePr/>
          <w:endnotePr/>
          <w:type w:val="nextPage"/>
          <w:pgSz w:w="11906" w:h="16838" w:orient="portrait"/>
          <w:pgMar w:top="1417" w:right="1417" w:bottom="1417" w:left="1417" w:header="851" w:footer="907" w:gutter="0"/>
          <w:cols w:num="1" w:sep="0" w:space="0" w:equalWidth="1"/>
          <w:docGrid w:linePitch="360"/>
          <w:titlePg/>
        </w:sectPr>
      </w:pPr>
      <w:r>
        <w:rPr>
          <w:rFonts w:hint="eastAsia" w:ascii="宋体" w:hAnsi="宋体" w:eastAsia="宋体" w:cs="宋体"/>
          <w:b w:val="0"/>
          <w:color w:val="auto"/>
          <w:sz w:val="24"/>
          <w:szCs w:val="24"/>
          <w:highlight w:val="none"/>
          <w:lang w:val="en-US" w:eastAsia="zh-CN" w:bidi="ar-SA"/>
        </w:rPr>
      </w:r>
      <w:r/>
    </w:p>
    <w:p>
      <w:pPr>
        <w:ind w:left="0" w:firstLine="0"/>
        <w:jc w:val="left"/>
        <w:keepLines w:val="0"/>
        <w:keepNext w:val="0"/>
        <w:pageBreakBefore w:val="0"/>
        <w:spacing w:line="500" w:lineRule="exact"/>
        <w:widowControl w:val="off"/>
        <w:rPr>
          <w:rFonts w:hint="eastAsia" w:ascii="宋体" w:hAnsi="宋体" w:eastAsia="宋体" w:cs="宋体"/>
          <w:b/>
          <w:bCs/>
          <w:color w:val="auto"/>
          <w:sz w:val="24"/>
          <w:szCs w:val="24"/>
          <w:highlight w:val="yellow"/>
          <w:lang w:val="en-US" w:eastAsia="zh-CN"/>
        </w:rPr>
      </w:pPr>
      <w:r>
        <w:rPr>
          <w:rFonts w:hint="eastAsia" w:ascii="宋体" w:hAnsi="宋体" w:eastAsia="宋体" w:cs="宋体"/>
          <w:b/>
          <w:bCs/>
          <w:color w:val="auto"/>
          <w:sz w:val="24"/>
          <w:szCs w:val="24"/>
          <w:highlight w:val="yellow"/>
          <w:lang w:val="en-US" w:eastAsia="zh-CN"/>
        </w:rPr>
        <w:t xml:space="preserve">二、技术参数要求及招标清单</w:t>
      </w:r>
      <w:r/>
    </w:p>
    <w:tbl>
      <w:tblPr>
        <w:tblStyle w:val="936"/>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47"/>
        <w:gridCol w:w="1723"/>
        <w:gridCol w:w="4152"/>
        <w:gridCol w:w="910"/>
        <w:gridCol w:w="1030"/>
        <w:gridCol w:w="1797"/>
        <w:gridCol w:w="1832"/>
        <w:gridCol w:w="1723"/>
      </w:tblGrid>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keepLines w:val="0"/>
              <w:keepNext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tcPr>
          <w:p>
            <w:pPr>
              <w:ind w:firstLine="0"/>
              <w:jc w:val="center"/>
              <w:keepLines w:val="0"/>
              <w:keepNext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firstLine="0"/>
              <w:jc w:val="center"/>
              <w:keepLines w:val="0"/>
              <w:keepNext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ind w:firstLine="0"/>
              <w:jc w:val="center"/>
              <w:keepLines w:val="0"/>
              <w:keepNext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小计（元）</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keepLines w:val="0"/>
              <w:keepNext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模块式风冷热泵机组</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制冷量130KW,制热量145KW，制冷功率38.35kW，制热功率38.67kW，电源规格380V 3N~50Hz</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卧式空调机组</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风量：10000m³/h；余压：400pa；制冷量：76.5KW；含启动柜</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卧式空调机组</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风量：30000m³/h；余压：450pa；制冷量：219KW；含启动柜</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卧式空调机组</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风量：35000m³/h；余压：600pa；制冷量：293KW；含启动柜</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吊装式空调机组</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风量：2500m³/h；余压：200pa；制冷量：18.6KW，含启动柜</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主机线控器</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对模块机组实现集中控制，管理机组的启停顺序，同时用户通过线控器能够及时了解机组的运行状况和故障状态。</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立式循环泵(两用一备）</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流量50m³/h、扬程32m、功率7.5kw</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电子除垢仪</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DN125</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压差旁通阀</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膨胀水箱</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容积：1m³，包含配套阀门</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DN40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DN65</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DN80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Y型过滤器</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DN40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Y型过滤器</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DN65</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Y型过滤器</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DN80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Y型过滤器</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0-50℃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压力表</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0-2.5MPa</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止回阀</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闸阀</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DN40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涡轮蝶阀</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DN65</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涡轮蝶阀</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DN80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涡轮蝶阀</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涡轮蝶阀</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DN125</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钢管</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DN40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钢管</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DN65</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钢管</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DN80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钢管</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钢管</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DN125</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管道防潮层、保护层</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铝板，厚度0.5mm</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自动排气阀</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DN20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泄水阀</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DN20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水泵大小头接头</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DN80-DN100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冷凝水管UPVC</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φ40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冷凝水管UPVC</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φ50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冷凝水管UPVC</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φ63</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管道保温</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难燃B1级发泡橡塑保温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绝热厚度:50mm</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旧机拆除费</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原卧式空调机组、吊装式空调机组，室外风冷模块机组拆除，包含管道、阀门等拆除。</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保温修复</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室内风管保温破损处修复，设备机房的风管保温修复</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电源改造</w:t>
            </w:r>
            <w:r/>
          </w:p>
        </w:tc>
        <w:tc>
          <w:tcPr>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包含设备的配电箱改造、室外桥架、以及满足设备正常运行所需要的增加部分电源线</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8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firstLine="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numPr>
          <w:ilvl w:val="0"/>
          <w:numId w:val="0"/>
        </w:numPr>
        <w:ind w:firstLine="482"/>
        <w:pageBreakBefore w:val="0"/>
        <w:spacing w:line="500" w:lineRule="exact"/>
        <w:widowControl w:val="off"/>
        <w:rPr>
          <w:rFonts w:hint="eastAsia" w:ascii="宋体" w:hAnsi="宋体" w:eastAsia="宋体" w:cs="宋体"/>
          <w:b w:val="0"/>
          <w:color w:val="auto"/>
          <w:sz w:val="21"/>
          <w:szCs w:val="21"/>
          <w:lang w:val="en-US" w:eastAsia="zh-CN" w:bidi="ar-SA"/>
        </w:rPr>
        <w:sectPr>
          <w:footnotePr/>
          <w:endnotePr/>
          <w:type w:val="nextPage"/>
          <w:pgSz w:w="16838" w:h="11906" w:orient="landscape"/>
          <w:pgMar w:top="1417" w:right="1417" w:bottom="1417" w:left="1417" w:header="851" w:footer="907" w:gutter="0"/>
          <w:cols w:num="1" w:sep="0" w:space="0" w:equalWidth="1"/>
          <w:docGrid w:linePitch="360"/>
          <w:titlePg/>
        </w:sectPr>
      </w:pPr>
      <w:r>
        <w:rPr>
          <w:rFonts w:hint="eastAsia" w:ascii="宋体" w:hAnsi="宋体" w:eastAsia="宋体" w:cs="宋体"/>
          <w:b w:val="0"/>
          <w:color w:val="auto"/>
          <w:sz w:val="21"/>
          <w:szCs w:val="21"/>
          <w:lang w:val="en-US" w:eastAsia="zh-CN" w:bidi="ar-SA"/>
        </w:rPr>
        <w:t xml:space="preserve">注：1本项目采用全费用综合单价报价，投标人应按规定格式报价，该报价应包括但不限于人工费、材料费、机械费、设备费、运杂费、包装费、保险费、制作安装费、调试费、验收费、售后服务费、招标代理费、管理费、利润、规费、税金等一切费用。投标人应充分考虑项目的规模、性质、供货期间的市场风险和国家政策性调整风险系数以及采购人对项目范围、供货期、质量等的要求，并计入报价中，最终全费用综合单价不作调整。</w:t>
      </w:r>
      <w:r/>
    </w:p>
    <w:p>
      <w:pPr>
        <w:numPr>
          <w:ilvl w:val="0"/>
          <w:numId w:val="0"/>
        </w:numPr>
        <w:ind w:right="0"/>
        <w:keepLines w:val="0"/>
        <w:keepNext w:val="0"/>
        <w:pageBreakBefore w:val="0"/>
        <w:spacing w:line="5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其他</w:t>
      </w:r>
      <w:r>
        <w:rPr>
          <w:rFonts w:hint="eastAsia" w:ascii="宋体" w:hAnsi="宋体" w:eastAsia="宋体" w:cs="宋体"/>
          <w:b/>
          <w:bCs/>
          <w:color w:val="auto"/>
          <w:sz w:val="21"/>
          <w:szCs w:val="21"/>
          <w:highlight w:val="none"/>
        </w:rPr>
        <w:t xml:space="preserve">要求</w:t>
      </w:r>
      <w:r/>
    </w:p>
    <w:p>
      <w:pPr>
        <w:ind w:right="0" w:firstLine="48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right="0" w:firstLine="48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ind w:left="0" w:right="0" w:firstLine="0"/>
        <w:jc w:val="left"/>
        <w:keepLines w:val="0"/>
        <w:keepNext w:val="0"/>
        <w:pageBreakBefore w:val="0"/>
        <w:spacing w:line="5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、交货期及交货地点</w:t>
      </w:r>
      <w:r/>
    </w:p>
    <w:p>
      <w:pPr>
        <w:ind w:right="0" w:firstLine="480"/>
        <w:jc w:val="left"/>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1、交货日期：自合同签订之日起7日历天（须在2025年12月23日前完成采购及安装）全部安装完成并经采购人验收合格。</w:t>
      </w:r>
      <w:r/>
    </w:p>
    <w:p>
      <w:pPr>
        <w:ind w:right="0" w:firstLine="480"/>
        <w:jc w:val="left"/>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2、交货地点：</w:t>
      </w:r>
      <w:r>
        <w:rPr>
          <w:rFonts w:hint="eastAsia" w:cs="宋体"/>
          <w:color w:val="auto"/>
          <w:sz w:val="21"/>
          <w:szCs w:val="21"/>
          <w:highlight w:val="none"/>
          <w:lang w:eastAsia="zh-CN"/>
        </w:rPr>
        <w:t xml:space="preserve">盐城市大丰区文化广电和旅游局</w:t>
      </w:r>
      <w:r>
        <w:rPr>
          <w:rFonts w:hint="eastAsia" w:ascii="宋体" w:hAnsi="宋体" w:eastAsia="宋体" w:cs="宋体"/>
          <w:color w:val="auto"/>
          <w:sz w:val="21"/>
          <w:szCs w:val="21"/>
          <w:highlight w:val="none"/>
        </w:rPr>
        <w:t xml:space="preserve">。</w:t>
      </w:r>
      <w:r/>
    </w:p>
    <w:p>
      <w:pPr>
        <w:ind w:left="0" w:right="0" w:firstLine="0"/>
        <w:jc w:val="left"/>
        <w:keepLines w:val="0"/>
        <w:keepNext w:val="0"/>
        <w:pageBreakBefore w:val="0"/>
        <w:spacing w:line="5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、验收标准</w:t>
      </w:r>
      <w:r/>
    </w:p>
    <w:p>
      <w:pPr>
        <w:ind w:right="0" w:firstLine="480"/>
        <w:jc w:val="left"/>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产品到达交货地点后，采购人和中标人在</w:t>
      </w: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个工作</w:t>
      </w:r>
      <w:r>
        <w:rPr>
          <w:rFonts w:hint="eastAsia" w:ascii="宋体" w:hAnsi="宋体" w:eastAsia="宋体" w:cs="宋体"/>
          <w:color w:val="auto"/>
          <w:sz w:val="21"/>
          <w:szCs w:val="21"/>
          <w:highlight w:val="none"/>
        </w:rPr>
        <w:t xml:space="preserve">日内共同检验产品数量、质量等状况。经双方共同验收，产品性能参数达不到招标</w:t>
      </w:r>
      <w:r>
        <w:rPr>
          <w:rFonts w:hint="eastAsia" w:cs="宋体"/>
          <w:color w:val="auto"/>
          <w:sz w:val="21"/>
          <w:szCs w:val="21"/>
          <w:highlight w:val="none"/>
          <w:lang w:val="en-US" w:eastAsia="zh-CN"/>
        </w:rPr>
        <w:t xml:space="preserve">文件</w:t>
      </w:r>
      <w:r>
        <w:rPr>
          <w:rFonts w:hint="eastAsia" w:ascii="宋体" w:hAnsi="宋体" w:eastAsia="宋体" w:cs="宋体"/>
          <w:color w:val="auto"/>
          <w:sz w:val="21"/>
          <w:szCs w:val="21"/>
          <w:highlight w:val="none"/>
        </w:rPr>
        <w:t xml:space="preserve">要求的，采购人可以拒收，并可以解除合同。</w:t>
      </w:r>
      <w:r/>
    </w:p>
    <w:p>
      <w:pPr>
        <w:ind w:right="0" w:firstLine="480"/>
        <w:jc w:val="left"/>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中标人进行安装调试并经过性能测试后，由采购人组织联合验收小组验收。验收合格后，双方在《验收报告》上签字确认。</w:t>
      </w:r>
      <w:r/>
    </w:p>
    <w:p>
      <w:pPr>
        <w:ind w:left="0" w:right="0" w:firstLine="0"/>
        <w:jc w:val="left"/>
        <w:keepLines w:val="0"/>
        <w:keepNext w:val="0"/>
        <w:pageBreakBefore w:val="0"/>
        <w:spacing w:line="5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、质保期及售后服务</w:t>
      </w:r>
      <w:r/>
    </w:p>
    <w:p>
      <w:pPr>
        <w:ind w:right="0" w:firstLine="482"/>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（一）质保期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年，自验收合格之日起算</w:t>
      </w:r>
      <w:r>
        <w:rPr>
          <w:rFonts w:hint="eastAsia" w:ascii="宋体" w:hAnsi="宋体" w:eastAsia="宋体" w:cs="宋体"/>
          <w:bCs/>
          <w:color w:val="auto"/>
          <w:sz w:val="21"/>
          <w:szCs w:val="21"/>
          <w:highlight w:val="none"/>
          <w:u w:val="none"/>
          <w:lang w:val="en-US" w:eastAsia="zh-CN"/>
        </w:rPr>
        <w:t xml:space="preserve">（如中标人投标时承诺延长的，按中标人投标承诺为准）</w:t>
      </w:r>
      <w:r>
        <w:rPr>
          <w:rFonts w:hint="eastAsia" w:ascii="宋体" w:hAnsi="宋体" w:eastAsia="宋体" w:cs="宋体"/>
          <w:color w:val="auto"/>
          <w:sz w:val="21"/>
          <w:szCs w:val="21"/>
          <w:highlight w:val="none"/>
        </w:rPr>
        <w:t xml:space="preserve">。</w:t>
      </w:r>
      <w:r/>
    </w:p>
    <w:p>
      <w:pPr>
        <w:ind w:right="0" w:firstLine="482"/>
        <w:keepLines w:val="0"/>
        <w:keepNext w:val="0"/>
        <w:pageBreakBefore w:val="0"/>
        <w:spacing w:line="5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（二）售后服务</w:t>
      </w:r>
      <w:r/>
    </w:p>
    <w:p>
      <w:pPr>
        <w:ind w:right="0" w:firstLine="48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所有的售后服务均由</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受理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如果发生问题并且收到报告，</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应当在2小时内予以答复。</w:t>
      </w:r>
      <w:r/>
    </w:p>
    <w:p>
      <w:pPr>
        <w:ind w:right="0" w:firstLine="48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质保期内每次制冷（制热）期开始前，</w:t>
      </w:r>
      <w:r>
        <w:rPr>
          <w:rFonts w:hint="eastAsia" w:ascii="宋体" w:hAnsi="宋体" w:eastAsia="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rPr>
        <w:t xml:space="preserve">负责</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免费的空调开机调试</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，每半年应对空调进行常规检查、调整和清洁保养，在质保期满时，投标人应对机组进行全面测试，保证无故障。</w:t>
      </w:r>
      <w:r/>
    </w:p>
    <w:p>
      <w:pPr>
        <w:ind w:right="0" w:firstLine="48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发现设备存在问题，需要</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解决或配合解决时，</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rPr>
        <w:t xml:space="preserve">在接到通知后</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小时内派有关人员到达现场，在48小时内排除故障。</w:t>
      </w:r>
      <w:r/>
    </w:p>
    <w:p>
      <w:pPr>
        <w:ind w:right="0" w:firstLine="48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派往</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现场</w:t>
      </w:r>
      <w:r>
        <w:rPr>
          <w:rFonts w:hint="eastAsia" w:ascii="宋体" w:hAnsi="宋体" w:eastAsia="宋体" w:cs="宋体"/>
          <w:color w:val="auto"/>
          <w:sz w:val="21"/>
          <w:szCs w:val="21"/>
          <w:highlight w:val="none"/>
          <w:lang w:val="en-US" w:eastAsia="zh-CN"/>
        </w:rPr>
        <w:t xml:space="preserve">提供售后服务</w:t>
      </w:r>
      <w:r>
        <w:rPr>
          <w:rFonts w:hint="eastAsia" w:ascii="宋体" w:hAnsi="宋体" w:eastAsia="宋体" w:cs="宋体"/>
          <w:color w:val="auto"/>
          <w:sz w:val="21"/>
          <w:szCs w:val="21"/>
          <w:highlight w:val="none"/>
        </w:rPr>
        <w:t xml:space="preserve">的人员，应具有较高的业务素质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现场解决问题时，不得无故拖延或推迟，应为</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优质</w:t>
      </w:r>
      <w:r>
        <w:rPr>
          <w:rFonts w:hint="eastAsia" w:ascii="宋体" w:hAnsi="宋体" w:eastAsia="宋体" w:cs="宋体"/>
          <w:color w:val="auto"/>
          <w:sz w:val="21"/>
          <w:szCs w:val="21"/>
          <w:highlight w:val="none"/>
        </w:rPr>
        <w:t xml:space="preserve">的服务。</w:t>
      </w:r>
      <w:r/>
    </w:p>
    <w:p>
      <w:pPr>
        <w:ind w:right="0" w:firstLine="48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必须无偿向</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提供系统运行初期的技术培训及质保期内的运行技术服务。</w:t>
      </w:r>
      <w:r/>
    </w:p>
    <w:p>
      <w:pPr>
        <w:ind w:right="0" w:firstLine="48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在质保期内因设备质量问题造成的设备故障和零部件损坏，</w:t>
      </w:r>
      <w:r>
        <w:rPr>
          <w:rFonts w:hint="eastAsia" w:ascii="宋体" w:hAnsi="宋体" w:eastAsia="宋体" w:cs="宋体"/>
          <w:color w:val="auto"/>
          <w:sz w:val="21"/>
          <w:szCs w:val="21"/>
          <w:highlight w:val="none"/>
          <w:lang w:val="en-US" w:eastAsia="zh-CN"/>
        </w:rPr>
        <w:t xml:space="preserve">中标人须</w:t>
      </w:r>
      <w:r>
        <w:rPr>
          <w:rFonts w:hint="eastAsia" w:ascii="宋体" w:hAnsi="宋体" w:eastAsia="宋体" w:cs="宋体"/>
          <w:color w:val="auto"/>
          <w:sz w:val="21"/>
          <w:szCs w:val="21"/>
          <w:highlight w:val="none"/>
        </w:rPr>
        <w:t xml:space="preserve">无条件维修或更换，更换的零部件质保期顺延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因人为因素出现的故障不在免费保修范围内。</w:t>
      </w:r>
      <w:r/>
    </w:p>
    <w:p>
      <w:pPr>
        <w:ind w:right="0" w:firstLine="482"/>
        <w:keepLines w:val="0"/>
        <w:keepNext w:val="0"/>
        <w:pageBreakBefore w:val="0"/>
        <w:spacing w:line="5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（三）人员培训</w:t>
      </w:r>
      <w:r/>
    </w:p>
    <w:p>
      <w:pPr>
        <w:ind w:right="0" w:firstLine="48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员工进行该技术内容操作使用和维护保养的培训不少于16小时。</w:t>
      </w:r>
      <w:r/>
    </w:p>
    <w:p>
      <w:pPr>
        <w:ind w:right="0" w:firstLine="48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员工进行设备安全培训。</w:t>
      </w:r>
      <w:r/>
    </w:p>
    <w:p>
      <w:pPr>
        <w:ind w:right="0" w:firstLine="48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提供设备运行、调试、维护过程中必要的专用工具、软件，以及对相关人员进行工艺设置、设备运行、调试和维护过程中相关的专用工具及软件使用的培训。</w:t>
      </w:r>
      <w:r/>
    </w:p>
    <w:p>
      <w:pPr>
        <w:ind w:right="0" w:firstLine="48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应免费提供一定数量的培训资料。</w:t>
      </w:r>
      <w:r/>
    </w:p>
    <w:p>
      <w:pPr>
        <w:ind w:left="0" w:right="0" w:firstLine="0"/>
        <w:jc w:val="left"/>
        <w:keepLines w:val="0"/>
        <w:keepNext w:val="0"/>
        <w:pageBreakBefore w:val="0"/>
        <w:spacing w:line="5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采购标的对应的中小微企业划分标准所属行业一览表</w:t>
      </w:r>
      <w:r/>
    </w:p>
    <w:tbl>
      <w:tblPr>
        <w:tblStyle w:val="96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5621"/>
        <w:gridCol w:w="3232"/>
      </w:tblGrid>
      <w:tr>
        <w:trPr>
          <w:jc w:val="center"/>
          <w:trHeight w:val="850"/>
        </w:trPr>
        <w:tc>
          <w:tcPr>
            <w:shd w:val="clear" w:color="auto" w:fill="auto"/>
            <w:tcW w:w="785" w:type="dxa"/>
            <w:vAlign w:val="center"/>
            <w:textDirection w:val="lrTb"/>
            <w:noWrap w:val="false"/>
          </w:tcPr>
          <w:p>
            <w:pPr>
              <w:pStyle w:val="959"/>
              <w:ind w:left="0" w:firstLine="0"/>
              <w:jc w:val="center"/>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shd w:val="clear" w:color="auto" w:fill="auto"/>
            <w:tcW w:w="5621" w:type="dxa"/>
            <w:vAlign w:val="center"/>
            <w:textDirection w:val="lrTb"/>
            <w:noWrap w:val="false"/>
          </w:tcPr>
          <w:p>
            <w:pPr>
              <w:pStyle w:val="959"/>
              <w:ind w:left="0" w:firstLine="0"/>
              <w:jc w:val="center"/>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w:t>
            </w:r>
            <w:r/>
          </w:p>
        </w:tc>
        <w:tc>
          <w:tcPr>
            <w:shd w:val="clear" w:color="auto" w:fill="auto"/>
            <w:tcW w:w="3232" w:type="dxa"/>
            <w:vAlign w:val="center"/>
            <w:textDirection w:val="lrTb"/>
            <w:noWrap w:val="false"/>
          </w:tcPr>
          <w:p>
            <w:pPr>
              <w:pStyle w:val="959"/>
              <w:ind w:left="0" w:firstLine="0"/>
              <w:jc w:val="center"/>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对应中小企业划分标准所属行业</w:t>
            </w:r>
            <w:r/>
          </w:p>
        </w:tc>
      </w:tr>
      <w:tr>
        <w:trPr>
          <w:jc w:val="center"/>
          <w:trHeight w:val="850"/>
        </w:trPr>
        <w:tc>
          <w:tcPr>
            <w:shd w:val="clear" w:color="auto" w:fill="auto"/>
            <w:tcW w:w="785" w:type="dxa"/>
            <w:vAlign w:val="center"/>
            <w:textDirection w:val="lrTb"/>
            <w:noWrap w:val="false"/>
          </w:tcPr>
          <w:p>
            <w:pPr>
              <w:pStyle w:val="959"/>
              <w:ind w:left="0" w:firstLine="0"/>
              <w:jc w:val="center"/>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5621" w:type="dxa"/>
            <w:vAlign w:val="center"/>
            <w:textDirection w:val="lrTb"/>
            <w:noWrap w:val="false"/>
          </w:tcPr>
          <w:p>
            <w:pPr>
              <w:pStyle w:val="959"/>
              <w:ind w:left="0" w:firstLine="0"/>
              <w:jc w:val="center"/>
              <w:spacing w:beforeAutospacing="0" w:afterAutospacing="0" w:line="0" w:lineRule="atLeast"/>
              <w:rPr>
                <w:rFonts w:hint="eastAsia" w:ascii="宋体" w:hAnsi="宋体" w:eastAsia="宋体" w:cs="宋体"/>
                <w:color w:val="auto"/>
                <w:sz w:val="21"/>
                <w:szCs w:val="21"/>
                <w:highlight w:val="none"/>
              </w:rPr>
            </w:pPr>
            <w:r>
              <w:rPr>
                <w:rFonts w:hint="eastAsia" w:cs="宋体"/>
                <w:color w:val="auto"/>
                <w:sz w:val="21"/>
                <w:szCs w:val="21"/>
                <w:highlight w:val="none"/>
                <w:lang w:eastAsia="zh-CN"/>
              </w:rPr>
              <w:t xml:space="preserve">区影剧院安全和维修项目（空调系统采购及安装）</w:t>
            </w:r>
            <w:r/>
          </w:p>
        </w:tc>
        <w:tc>
          <w:tcPr>
            <w:shd w:val="clear" w:color="auto" w:fill="auto"/>
            <w:tcW w:w="3232" w:type="dxa"/>
            <w:vAlign w:val="center"/>
            <w:textDirection w:val="lrTb"/>
            <w:noWrap w:val="false"/>
          </w:tcPr>
          <w:p>
            <w:pPr>
              <w:pStyle w:val="959"/>
              <w:ind w:left="0" w:firstLine="0"/>
              <w:jc w:val="center"/>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 xml:space="preserve">工业</w:t>
            </w:r>
            <w:r/>
          </w:p>
        </w:tc>
      </w:tr>
    </w:tbl>
    <w:p>
      <w:pPr>
        <w:ind w:firstLine="0"/>
        <w:spacing w:line="360" w:lineRule="exact"/>
        <w:rPr>
          <w:rFonts w:asciiTheme="minorEastAsia" w:hAnsiTheme="minorEastAsia" w:cstheme="minorEastAsia"/>
          <w:b w:val="0"/>
          <w:bCs w:val="0"/>
          <w:color w:val="auto"/>
          <w:szCs w:val="22"/>
        </w:rPr>
      </w:pPr>
      <w:r>
        <w:rPr>
          <w:rFonts w:hint="eastAsia" w:asciiTheme="minorEastAsia" w:hAnsiTheme="minorEastAsia" w:cstheme="minorEastAsia"/>
          <w:b w:val="0"/>
          <w:bCs w:val="0"/>
          <w:color w:val="auto"/>
          <w:szCs w:val="22"/>
          <w:lang w:val="en-US" w:eastAsia="zh-CN"/>
        </w:rPr>
        <w:t xml:space="preserve">八</w:t>
      </w:r>
      <w:r>
        <w:rPr>
          <w:rFonts w:hint="eastAsia" w:asciiTheme="minorEastAsia" w:hAnsiTheme="minorEastAsia" w:cstheme="minorEastAsia"/>
          <w:b w:val="0"/>
          <w:bCs w:val="0"/>
          <w:color w:val="auto"/>
          <w:szCs w:val="22"/>
        </w:rPr>
        <w:t xml:space="preserve">、采购属性：货物类</w:t>
      </w:r>
      <w:r/>
    </w:p>
    <w:p>
      <w:pPr>
        <w:pStyle w:val="1129"/>
        <w:ind w:firstLine="0"/>
        <w:spacing w:line="400" w:lineRule="exact"/>
        <w:rPr>
          <w:rFonts w:hint="eastAsia" w:eastAsia="宋体"/>
          <w:b w:val="0"/>
          <w:bCs w:val="0"/>
          <w:szCs w:val="22"/>
          <w:lang w:eastAsia="zh-CN"/>
        </w:rPr>
        <w:sectPr>
          <w:footnotePr/>
          <w:endnotePr/>
          <w:type w:val="nextPage"/>
          <w:pgSz w:w="11906" w:h="16838" w:orient="portrait"/>
          <w:pgMar w:top="1417" w:right="1304" w:bottom="1417" w:left="1304" w:header="851" w:footer="907" w:gutter="0"/>
          <w:cols w:num="1" w:sep="0" w:space="0" w:equalWidth="1"/>
          <w:docGrid w:linePitch="360"/>
          <w:titlePg/>
        </w:sectPr>
      </w:pPr>
      <w:r>
        <w:rPr>
          <w:rFonts w:hint="eastAsia" w:eastAsia="宋体"/>
          <w:b w:val="0"/>
          <w:bCs w:val="0"/>
          <w:szCs w:val="22"/>
          <w:lang w:eastAsia="zh-CN"/>
        </w:rPr>
      </w:r>
      <w:r/>
    </w:p>
    <w:p>
      <w:pPr>
        <w:pStyle w:val="1119"/>
        <w:ind w:firstLine="0"/>
        <w:jc w:val="center"/>
        <w:spacing w:line="24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第五章  评标方法与评标标准</w:t>
      </w:r>
      <w:r/>
    </w:p>
    <w:p>
      <w:pPr>
        <w:ind w:right="0" w:firstLine="482"/>
        <w:keepLines w:val="0"/>
        <w:keepNext w:val="0"/>
        <w:pageBreakBefore w:val="0"/>
        <w:spacing w:before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一、评标方法与定标原则</w:t>
      </w:r>
      <w:r/>
    </w:p>
    <w:p>
      <w:pPr>
        <w:ind w:right="0" w:firstLine="480"/>
        <w:keepLines w:val="0"/>
        <w:keepNext w:val="0"/>
        <w:pageBreakBefore w:val="0"/>
        <w:spacing w:beforeAutospacing="0"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本项目采用</w:t>
      </w:r>
      <w:r>
        <w:rPr>
          <w:rFonts w:hint="eastAsia" w:ascii="宋体" w:hAnsi="宋体" w:eastAsia="宋体" w:cs="宋体"/>
          <w:bCs/>
          <w:color w:val="auto"/>
          <w:sz w:val="21"/>
          <w:szCs w:val="21"/>
          <w:highlight w:val="none"/>
          <w:u w:val="single"/>
        </w:rPr>
        <w:t xml:space="preserve"> 综合评分 </w:t>
      </w:r>
      <w:r>
        <w:rPr>
          <w:rFonts w:hint="eastAsia" w:ascii="宋体" w:hAnsi="宋体" w:eastAsia="宋体" w:cs="宋体"/>
          <w:bCs/>
          <w:color w:val="auto"/>
          <w:sz w:val="21"/>
          <w:szCs w:val="21"/>
          <w:highlight w:val="none"/>
        </w:rPr>
        <w:t xml:space="preserve">法。</w:t>
      </w:r>
      <w:r>
        <w:rPr>
          <w:rFonts w:hint="eastAsia" w:ascii="宋体" w:hAnsi="宋体" w:eastAsia="宋体" w:cs="宋体"/>
          <w:color w:val="auto"/>
          <w:sz w:val="21"/>
          <w:szCs w:val="21"/>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1118"/>
        <w:ind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pStyle w:val="1118"/>
        <w:ind w:firstLine="482"/>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政府采购政策功能落实</w:t>
      </w:r>
      <w:r/>
    </w:p>
    <w:p>
      <w:pPr>
        <w:pStyle w:val="1118"/>
        <w:ind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1121"/>
        <w:ind w:left="0" w:firstLine="48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本项目不专门面向中小企业采购，对小型和微型企业产品给予20%的价格扣除，用扣除后的价格参与评审。</w:t>
      </w:r>
      <w:r/>
    </w:p>
    <w:p>
      <w:pPr>
        <w:pStyle w:val="1118"/>
        <w:ind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w:t>
      </w:r>
      <w:r>
        <w:rPr>
          <w:rFonts w:hint="eastAsia" w:ascii="宋体" w:hAnsi="宋体" w:eastAsia="宋体" w:cs="宋体"/>
          <w:color w:val="auto"/>
          <w:sz w:val="21"/>
          <w:szCs w:val="21"/>
          <w:highlight w:val="none"/>
          <w:lang w:val="en-US" w:eastAsia="zh-CN"/>
        </w:rPr>
        <w:t xml:space="preserve">中小</w:t>
      </w:r>
      <w:r>
        <w:rPr>
          <w:rFonts w:hint="eastAsia" w:ascii="宋体" w:hAnsi="宋体" w:eastAsia="宋体" w:cs="宋体"/>
          <w:color w:val="auto"/>
          <w:sz w:val="21"/>
          <w:szCs w:val="21"/>
          <w:highlight w:val="none"/>
        </w:rPr>
        <w:t xml:space="preserve">企业声明函》。</w:t>
      </w:r>
      <w:r/>
    </w:p>
    <w:p>
      <w:pPr>
        <w:pStyle w:val="1118"/>
        <w:ind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（3）企业标准请参照《关于印发中小企业划型标准规定的通知》（工信部联企业[2011]300号）文件规定自行填写。</w:t>
      </w:r>
      <w:r/>
    </w:p>
    <w:p>
      <w:pPr>
        <w:pStyle w:val="1118"/>
        <w:ind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1118"/>
        <w:ind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w:t>
      </w:r>
      <w:r/>
    </w:p>
    <w:p>
      <w:pPr>
        <w:pStyle w:val="1118"/>
        <w:ind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1118"/>
        <w:ind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1118"/>
        <w:ind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1118"/>
        <w:ind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w:t>
      </w:r>
      <w:r/>
    </w:p>
    <w:p>
      <w:pPr>
        <w:pStyle w:val="1118"/>
        <w:ind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18"/>
        <w:ind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1118"/>
        <w:ind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1118"/>
        <w:ind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其他条件相同情况下，应当优先采购节能产品、环境标志产品。</w:t>
      </w:r>
      <w:r/>
    </w:p>
    <w:p>
      <w:pPr>
        <w:keepLines w:val="0"/>
        <w:keepNext w:val="0"/>
        <w:pageBreakBefore w:val="0"/>
        <w:spacing w:line="360" w:lineRule="auto"/>
        <w:widowControl w:val="off"/>
        <w:rPr>
          <w:rFonts w:hint="eastAsia" w:ascii="宋体" w:hAnsi="宋体" w:eastAsia="宋体" w:cs="宋体"/>
          <w:b/>
          <w:color w:val="auto"/>
          <w:sz w:val="24"/>
          <w:szCs w:val="21"/>
          <w:highlight w:val="none"/>
          <w:lang w:val="en-US" w:eastAsia="zh-CN" w:bidi="ar-SA"/>
        </w:rPr>
      </w:pPr>
      <w:r>
        <w:rPr>
          <w:rFonts w:hint="eastAsia" w:ascii="宋体" w:hAnsi="宋体" w:eastAsia="宋体" w:cs="宋体"/>
          <w:b/>
          <w:color w:val="auto"/>
          <w:sz w:val="24"/>
          <w:szCs w:val="21"/>
          <w:highlight w:val="none"/>
          <w:lang w:val="en-US" w:eastAsia="zh-CN" w:bidi="ar-SA"/>
        </w:rPr>
        <w:t xml:space="preserve">二、评标方法与评标标准</w:t>
      </w:r>
      <w:r/>
    </w:p>
    <w:tbl>
      <w:tblPr>
        <w:tblStyle w:val="936"/>
        <w:tblW w:w="530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19"/>
        <w:gridCol w:w="1172"/>
        <w:gridCol w:w="1373"/>
        <w:gridCol w:w="6898"/>
      </w:tblGrid>
      <w:tr>
        <w:trPr>
          <w:jc w:val="center"/>
          <w:trHeight w:val="626"/>
        </w:trPr>
        <w:tc>
          <w:tcPr>
            <w:tcBorders>
              <w:top w:val="single" w:color="auto" w:sz="4" w:space="0"/>
              <w:left w:val="single" w:color="auto" w:sz="4" w:space="0"/>
              <w:bottom w:val="single" w:color="auto" w:sz="6" w:space="0"/>
              <w:right w:val="single" w:color="auto" w:sz="6" w:space="0"/>
            </w:tcBorders>
            <w:tcW w:w="212" w:type="pct"/>
            <w:vAlign w:val="center"/>
            <w:textDirection w:val="lrTb"/>
            <w:noWrap w:val="false"/>
          </w:tcPr>
          <w:p>
            <w:pPr>
              <w:ind w:left="0" w:right="0" w:firstLine="0"/>
              <w:jc w:val="center"/>
              <w:keepLines w:val="0"/>
              <w:keepNext w:val="0"/>
              <w:pageBreakBefore w:val="0"/>
              <w:spacing w:before="0" w:beforeAutospacing="0" w:after="0" w:afterAutospacing="0" w:line="280" w:lineRule="exact"/>
              <w:rPr>
                <w:rFonts w:hint="eastAsia" w:ascii="宋体" w:hAnsi="宋体" w:eastAsia="宋体" w:cs="宋体"/>
                <w:b/>
                <w:bCs/>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序号</w:t>
            </w:r>
            <w:r/>
          </w:p>
        </w:tc>
        <w:tc>
          <w:tcPr>
            <w:tcBorders>
              <w:top w:val="single" w:color="auto" w:sz="4" w:space="0"/>
              <w:left w:val="single" w:color="auto" w:sz="6" w:space="0"/>
              <w:bottom w:val="single" w:color="auto" w:sz="6" w:space="0"/>
              <w:right w:val="single" w:color="auto" w:sz="6" w:space="0"/>
            </w:tcBorders>
            <w:tcW w:w="594" w:type="pct"/>
            <w:vAlign w:val="center"/>
            <w:textDirection w:val="lrTb"/>
            <w:noWrap w:val="false"/>
          </w:tcPr>
          <w:p>
            <w:pPr>
              <w:ind w:left="0" w:right="0" w:firstLine="0"/>
              <w:jc w:val="center"/>
              <w:keepLines w:val="0"/>
              <w:keepNext w:val="0"/>
              <w:pageBreakBefore w:val="0"/>
              <w:spacing w:before="0" w:beforeAutospacing="0" w:after="0" w:afterAutospacing="0" w:line="280" w:lineRule="exact"/>
              <w:rPr>
                <w:rFonts w:hint="eastAsia" w:ascii="宋体" w:hAnsi="宋体" w:eastAsia="宋体" w:cs="宋体"/>
                <w:b/>
                <w:bCs/>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评审</w:t>
            </w:r>
            <w:r/>
          </w:p>
          <w:p>
            <w:pPr>
              <w:ind w:left="0" w:right="0" w:firstLine="0"/>
              <w:jc w:val="center"/>
              <w:keepLines w:val="0"/>
              <w:keepNext w:val="0"/>
              <w:pageBreakBefore w:val="0"/>
              <w:spacing w:before="0" w:beforeAutospacing="0" w:after="0" w:afterAutospacing="0" w:line="280" w:lineRule="exact"/>
              <w:rPr>
                <w:rFonts w:hint="eastAsia" w:ascii="宋体" w:hAnsi="宋体" w:eastAsia="宋体" w:cs="宋体"/>
                <w:b/>
                <w:bCs/>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因素</w:t>
            </w:r>
            <w:r/>
          </w:p>
        </w:tc>
        <w:tc>
          <w:tcPr>
            <w:tcBorders>
              <w:top w:val="single" w:color="auto" w:sz="4" w:space="0"/>
              <w:left w:val="single" w:color="auto" w:sz="6" w:space="0"/>
              <w:bottom w:val="single" w:color="auto" w:sz="6" w:space="0"/>
              <w:right w:val="single" w:color="auto" w:sz="6" w:space="0"/>
            </w:tcBorders>
            <w:tcW w:w="696" w:type="pct"/>
            <w:vAlign w:val="center"/>
            <w:textDirection w:val="lrTb"/>
            <w:noWrap w:val="false"/>
          </w:tcPr>
          <w:p>
            <w:pPr>
              <w:ind w:left="0" w:right="0" w:firstLine="0"/>
              <w:jc w:val="center"/>
              <w:keepLines w:val="0"/>
              <w:keepNext w:val="0"/>
              <w:pageBreakBefore w:val="0"/>
              <w:spacing w:before="0" w:beforeAutospacing="0" w:after="0" w:afterAutospacing="0" w:line="280" w:lineRule="exact"/>
              <w:rPr>
                <w:rFonts w:hint="eastAsia" w:ascii="宋体" w:hAnsi="宋体" w:eastAsia="宋体" w:cs="宋体"/>
                <w:b/>
                <w:bCs/>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分值</w:t>
            </w:r>
            <w:r/>
          </w:p>
        </w:tc>
        <w:tc>
          <w:tcPr>
            <w:tcBorders>
              <w:top w:val="single" w:color="auto" w:sz="4" w:space="0"/>
              <w:left w:val="single" w:color="auto" w:sz="6" w:space="0"/>
              <w:bottom w:val="single" w:color="auto" w:sz="6" w:space="0"/>
              <w:right w:val="single" w:color="auto" w:sz="4" w:space="0"/>
            </w:tcBorders>
            <w:tcW w:w="3497" w:type="pct"/>
            <w:vAlign w:val="center"/>
            <w:textDirection w:val="lrTb"/>
            <w:noWrap w:val="false"/>
          </w:tcPr>
          <w:p>
            <w:pPr>
              <w:ind w:left="0" w:right="0" w:firstLine="0"/>
              <w:jc w:val="center"/>
              <w:keepLines w:val="0"/>
              <w:keepNext w:val="0"/>
              <w:pageBreakBefore w:val="0"/>
              <w:spacing w:before="0" w:beforeAutospacing="0" w:after="0" w:afterAutospacing="0" w:line="280" w:lineRule="exact"/>
              <w:rPr>
                <w:rFonts w:hint="eastAsia" w:ascii="宋体" w:hAnsi="宋体" w:eastAsia="宋体" w:cs="宋体"/>
                <w:b/>
                <w:bCs/>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评审要求或标准</w:t>
            </w:r>
            <w:r/>
          </w:p>
        </w:tc>
      </w:tr>
      <w:tr>
        <w:trPr>
          <w:jc w:val="center"/>
          <w:trHeight w:val="984"/>
        </w:trPr>
        <w:tc>
          <w:tcPr>
            <w:tcBorders>
              <w:top w:val="single" w:color="auto" w:sz="6" w:space="0"/>
              <w:left w:val="single" w:color="auto" w:sz="4" w:space="0"/>
              <w:bottom w:val="single" w:color="auto" w:sz="6" w:space="0"/>
              <w:right w:val="single" w:color="auto" w:sz="6" w:space="0"/>
            </w:tcBorders>
            <w:tcW w:w="212" w:type="pct"/>
            <w:vAlign w:val="center"/>
            <w:textDirection w:val="lrTb"/>
            <w:noWrap w:val="false"/>
          </w:tcPr>
          <w:p>
            <w:pPr>
              <w:ind w:left="0" w:right="0" w:firstLine="0"/>
              <w:jc w:val="center"/>
              <w:keepLines w:val="0"/>
              <w:keepNext w:val="0"/>
              <w:pageBreakBefore w:val="0"/>
              <w:spacing w:before="0" w:beforeAutospacing="0" w:after="0" w:afterAutospacing="0" w:line="280" w:lineRule="exact"/>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594" w:type="pct"/>
            <w:vAlign w:val="center"/>
            <w:textDirection w:val="lrTb"/>
            <w:noWrap w:val="false"/>
          </w:tcPr>
          <w:p>
            <w:pPr>
              <w:ind w:left="0" w:right="0" w:firstLine="0"/>
              <w:jc w:val="center"/>
              <w:keepLines w:val="0"/>
              <w:keepNext w:val="0"/>
              <w:pageBreakBefore w:val="0"/>
              <w:spacing w:before="0" w:beforeAutospacing="0" w:after="0" w:afterAutospacing="0" w:line="280" w:lineRule="exact"/>
              <w:widowControl/>
              <w:rPr>
                <w:rFonts w:hint="eastAsia" w:ascii="宋体" w:hAnsi="宋体" w:eastAsia="宋体" w:cs="宋体"/>
                <w:b w:val="0"/>
                <w:bCs w:val="0"/>
                <w:color w:val="auto"/>
                <w:spacing w:val="-12"/>
                <w:sz w:val="21"/>
                <w:szCs w:val="21"/>
                <w:highlight w:val="none"/>
              </w:rPr>
              <w:suppressLineNumbers w:val="0"/>
            </w:pPr>
            <w:r>
              <w:rPr>
                <w:rFonts w:hint="eastAsia" w:ascii="宋体" w:hAnsi="宋体" w:eastAsia="宋体" w:cs="宋体"/>
                <w:color w:val="auto"/>
                <w:sz w:val="21"/>
                <w:szCs w:val="21"/>
                <w:highlight w:val="none"/>
              </w:rPr>
              <w:t xml:space="preserve">价格</w:t>
            </w:r>
            <w:r/>
          </w:p>
        </w:tc>
        <w:tc>
          <w:tcPr>
            <w:tcBorders>
              <w:top w:val="single" w:color="auto" w:sz="6" w:space="0"/>
              <w:left w:val="single" w:color="auto" w:sz="6" w:space="0"/>
              <w:bottom w:val="single" w:color="auto" w:sz="6" w:space="0"/>
              <w:right w:val="single" w:color="auto" w:sz="6" w:space="0"/>
            </w:tcBorders>
            <w:tcW w:w="696" w:type="pct"/>
            <w:vAlign w:val="center"/>
            <w:textDirection w:val="lrTb"/>
            <w:noWrap w:val="false"/>
          </w:tcPr>
          <w:p>
            <w:pPr>
              <w:ind w:left="0" w:right="0" w:firstLine="0"/>
              <w:jc w:val="center"/>
              <w:keepLines w:val="0"/>
              <w:keepNext w:val="0"/>
              <w:pageBreakBefore w:val="0"/>
              <w:spacing w:before="0" w:beforeAutospacing="0" w:after="0" w:afterAutospacing="0" w:line="280" w:lineRule="exact"/>
              <w:widowControl/>
              <w:rPr>
                <w:rFonts w:hint="default" w:ascii="宋体" w:hAnsi="宋体" w:eastAsia="宋体" w:cs="宋体"/>
                <w:b w:val="0"/>
                <w:bCs w:val="0"/>
                <w:color w:val="auto"/>
                <w:sz w:val="21"/>
                <w:szCs w:val="21"/>
                <w:highlight w:val="none"/>
                <w:lang w:val="en-US" w:eastAsia="zh-CN"/>
              </w:rPr>
              <w:suppressLineNumbers w:val="0"/>
            </w:pPr>
            <w:r>
              <w:rPr>
                <w:rFonts w:hint="eastAsia"/>
                <w:color w:val="000000"/>
                <w:sz w:val="21"/>
                <w:szCs w:val="21"/>
              </w:rPr>
              <w:t xml:space="preserve">投标报价与评标基准价</w:t>
            </w:r>
            <w:r>
              <w:rPr>
                <w:rFonts w:hint="eastAsia"/>
                <w:sz w:val="21"/>
                <w:szCs w:val="21"/>
                <w:lang w:val="en-US" w:eastAsia="zh-CN"/>
              </w:rPr>
              <w:t xml:space="preserve">（40）分</w:t>
            </w:r>
            <w:r/>
          </w:p>
        </w:tc>
        <w:tc>
          <w:tcPr>
            <w:tcBorders>
              <w:top w:val="single" w:color="auto" w:sz="6" w:space="0"/>
              <w:left w:val="single" w:color="auto" w:sz="6" w:space="0"/>
              <w:bottom w:val="single" w:color="auto" w:sz="6" w:space="0"/>
              <w:right w:val="single" w:color="auto" w:sz="4" w:space="0"/>
            </w:tcBorders>
            <w:tcW w:w="3497" w:type="pct"/>
            <w:vAlign w:val="center"/>
            <w:textDirection w:val="lrTb"/>
            <w:noWrap w:val="false"/>
          </w:tcPr>
          <w:p>
            <w:pPr>
              <w:ind w:left="0" w:right="0"/>
              <w:keepLines w:val="0"/>
              <w:keepNext w:val="0"/>
              <w:pageBreakBefore w:val="0"/>
              <w:spacing w:before="0" w:beforeAutospacing="0" w:after="0" w:afterAutospacing="0" w:line="280" w:lineRule="exact"/>
              <w:rPr>
                <w:rFonts w:hint="eastAsia" w:ascii="宋体" w:hAnsi="宋体" w:eastAsia="宋体" w:cs="宋体"/>
                <w:b w:val="0"/>
                <w:bCs w:val="0"/>
                <w:color w:val="auto"/>
                <w:sz w:val="21"/>
                <w:szCs w:val="21"/>
                <w:highlight w:val="none"/>
                <w:lang w:val="zh-CN" w:eastAsia="zh-CN" w:bidi="ar-SA"/>
              </w:rPr>
              <w:outlineLvl w:val="9"/>
              <w:suppressLineNumbers w:val="0"/>
            </w:pPr>
            <w:r>
              <w:rPr>
                <w:rFonts w:hint="eastAsia" w:ascii="宋体" w:hAnsi="宋体" w:eastAsia="宋体" w:cs="宋体"/>
                <w:b w:val="0"/>
                <w:bCs w:val="0"/>
                <w:color w:val="auto"/>
                <w:sz w:val="21"/>
                <w:szCs w:val="21"/>
                <w:highlight w:val="none"/>
                <w:lang w:val="zh-CN" w:eastAsia="zh-CN" w:bidi="ar-SA"/>
              </w:rPr>
              <w:t xml:space="preserve">价格分应当采用低价优先法计算，即满足招标文件要求且报价价格最低的为评标基准价，其价格分为满分。其他投标人的价格分统一按照下列公式计算：</w:t>
            </w:r>
            <w:r/>
          </w:p>
          <w:p>
            <w:pPr>
              <w:ind w:left="0" w:right="0"/>
              <w:keepLines w:val="0"/>
              <w:keepNext w:val="0"/>
              <w:pageBreakBefore w:val="0"/>
              <w:spacing w:before="0" w:beforeAutospacing="0" w:after="0" w:afterAutospacing="0" w:line="280" w:lineRule="exact"/>
              <w:rPr>
                <w:rFonts w:hint="eastAsia" w:ascii="宋体" w:hAnsi="宋体" w:eastAsia="宋体" w:cs="宋体"/>
                <w:b w:val="0"/>
                <w:bCs w:val="0"/>
                <w:color w:val="auto"/>
                <w:sz w:val="21"/>
                <w:szCs w:val="21"/>
                <w:highlight w:val="none"/>
                <w:lang w:val="en-US" w:eastAsia="zh-CN" w:bidi="ar-SA"/>
              </w:rPr>
              <w:outlineLvl w:val="9"/>
              <w:suppressLineNumbers w:val="0"/>
            </w:pPr>
            <w:r>
              <w:rPr>
                <w:rFonts w:hint="eastAsia" w:ascii="宋体" w:hAnsi="宋体" w:eastAsia="宋体" w:cs="宋体"/>
                <w:b w:val="0"/>
                <w:bCs w:val="0"/>
                <w:color w:val="auto"/>
                <w:sz w:val="21"/>
                <w:szCs w:val="21"/>
                <w:highlight w:val="none"/>
                <w:lang w:val="zh-CN" w:eastAsia="zh-CN" w:bidi="ar-SA"/>
              </w:rPr>
              <w:t xml:space="preserve">报价得分=(评标基准价／投标报价)×</w:t>
            </w:r>
            <w:r>
              <w:rPr>
                <w:rFonts w:hint="eastAsia"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0</w:t>
            </w:r>
            <w:r/>
          </w:p>
        </w:tc>
      </w:tr>
      <w:tr>
        <w:trPr>
          <w:jc w:val="center"/>
          <w:trHeight w:val="665"/>
        </w:trPr>
        <w:tc>
          <w:tcPr>
            <w:tcBorders>
              <w:top w:val="single" w:color="auto" w:sz="4" w:space="0"/>
              <w:left w:val="single" w:color="auto" w:sz="4" w:space="0"/>
              <w:bottom w:val="single" w:color="auto" w:sz="4" w:space="0"/>
              <w:right w:val="single" w:color="auto" w:sz="4" w:space="0"/>
            </w:tcBorders>
            <w:tcW w:w="212" w:type="pct"/>
            <w:vAlign w:val="center"/>
            <w:textDirection w:val="lrTb"/>
            <w:noWrap w:val="false"/>
          </w:tcPr>
          <w:p>
            <w:pPr>
              <w:ind w:left="0" w:firstLine="0"/>
              <w:jc w:val="center"/>
              <w:keepLines w:val="0"/>
              <w:keepNext w:val="0"/>
              <w:pageBreakBefore w:val="0"/>
              <w:spacing w:line="280" w:lineRule="exact"/>
              <w:rPr>
                <w:rFonts w:hint="eastAsia" w:eastAsia="宋体"/>
                <w:color w:val="000000"/>
                <w:sz w:val="21"/>
                <w:szCs w:val="21"/>
                <w:lang w:eastAsia="zh-CN"/>
              </w:rPr>
            </w:pPr>
            <w:r>
              <w:rPr>
                <w:rFonts w:hint="eastAsia"/>
                <w:color w:val="000000"/>
                <w:sz w:val="21"/>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ind w:left="0" w:firstLine="0"/>
              <w:jc w:val="center"/>
              <w:keepLines w:val="0"/>
              <w:keepNext w:val="0"/>
              <w:pageBreakBefore w:val="0"/>
              <w:spacing w:line="280" w:lineRule="exact"/>
              <w:rPr>
                <w:rFonts w:hint="eastAsia" w:ascii="宋体" w:hAnsi="宋体"/>
                <w:color w:val="000000"/>
                <w:sz w:val="21"/>
                <w:szCs w:val="21"/>
              </w:rPr>
            </w:pPr>
            <w:r>
              <w:rPr>
                <w:rFonts w:hint="eastAsia" w:ascii="宋体" w:hAnsi="宋体"/>
                <w:color w:val="000000"/>
                <w:sz w:val="21"/>
                <w:szCs w:val="21"/>
              </w:rPr>
              <w:t xml:space="preserve">技术</w:t>
            </w:r>
            <w:r/>
          </w:p>
          <w:p>
            <w:pPr>
              <w:ind w:left="0" w:firstLine="0"/>
              <w:jc w:val="center"/>
              <w:keepLines w:val="0"/>
              <w:keepNext w:val="0"/>
              <w:pageBreakBefore w:val="0"/>
              <w:spacing w:line="280" w:lineRule="exact"/>
              <w:rPr>
                <w:color w:val="000000"/>
                <w:sz w:val="21"/>
                <w:szCs w:val="21"/>
              </w:rPr>
            </w:pPr>
            <w:r>
              <w:rPr>
                <w:rFonts w:hint="eastAsia" w:ascii="宋体" w:hAnsi="宋体"/>
                <w:color w:val="000000"/>
                <w:sz w:val="21"/>
                <w:szCs w:val="21"/>
              </w:rPr>
              <w:t xml:space="preserve">响应</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ind w:left="0" w:firstLine="0"/>
              <w:jc w:val="center"/>
              <w:keepLines w:val="0"/>
              <w:keepNext w:val="0"/>
              <w:pageBreakBefore w:val="0"/>
              <w:spacing w:line="280" w:lineRule="exact"/>
              <w:rPr>
                <w:rFonts w:hint="eastAsia"/>
                <w:color w:val="000000"/>
                <w:sz w:val="21"/>
                <w:szCs w:val="21"/>
              </w:rPr>
            </w:pPr>
            <w:r>
              <w:rPr>
                <w:rFonts w:hint="eastAsia"/>
                <w:color w:val="000000"/>
                <w:sz w:val="21"/>
                <w:szCs w:val="21"/>
              </w:rPr>
              <w:t xml:space="preserve">技术规格、参数响应</w:t>
            </w:r>
            <w:r>
              <w:rPr>
                <w:rFonts w:hint="eastAsia"/>
                <w:sz w:val="21"/>
                <w:szCs w:val="21"/>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3497" w:type="pct"/>
            <w:vAlign w:val="center"/>
            <w:textDirection w:val="lrTb"/>
            <w:noWrap w:val="false"/>
          </w:tcPr>
          <w:p>
            <w:pPr>
              <w:keepLines w:val="0"/>
              <w:keepNext w:val="0"/>
              <w:pageBreakBefore w:val="0"/>
              <w:spacing w:line="280" w:lineRule="exact"/>
              <w:rPr>
                <w:rFonts w:hint="eastAsia"/>
                <w:color w:val="000000"/>
                <w:sz w:val="21"/>
                <w:szCs w:val="21"/>
              </w:rPr>
            </w:pPr>
            <w:r>
              <w:rPr>
                <w:rFonts w:hint="eastAsia" w:ascii="宋体" w:hAnsi="宋体" w:cs="宋体"/>
                <w:sz w:val="21"/>
                <w:szCs w:val="21"/>
              </w:rPr>
              <w:t xml:space="preserve">投标人要根据</w:t>
            </w:r>
            <w:r>
              <w:rPr>
                <w:rFonts w:hint="eastAsia" w:ascii="宋体" w:hAnsi="宋体" w:cs="宋体"/>
                <w:sz w:val="21"/>
                <w:szCs w:val="21"/>
                <w:lang w:val="en-US" w:eastAsia="zh-CN"/>
              </w:rPr>
              <w:t xml:space="preserve">招标需求</w:t>
            </w:r>
            <w:r>
              <w:rPr>
                <w:rFonts w:hint="eastAsia" w:ascii="宋体" w:hAnsi="宋体" w:cs="宋体"/>
                <w:sz w:val="21"/>
                <w:szCs w:val="21"/>
              </w:rPr>
              <w:t xml:space="preserve">提供《</w:t>
            </w:r>
            <w:r>
              <w:rPr>
                <w:rFonts w:hint="eastAsia" w:ascii="宋体" w:hAnsi="宋体" w:cs="宋体"/>
                <w:sz w:val="21"/>
                <w:szCs w:val="21"/>
                <w:lang w:val="en-US" w:eastAsia="zh-CN"/>
              </w:rPr>
              <w:t xml:space="preserve">技术参数要求及招标清单</w:t>
            </w:r>
            <w:r>
              <w:rPr>
                <w:rFonts w:hint="eastAsia" w:ascii="宋体" w:hAnsi="宋体" w:cs="宋体"/>
                <w:sz w:val="21"/>
                <w:szCs w:val="21"/>
              </w:rPr>
              <w:t xml:space="preserve">》（格式自拟），负偏离的扣减0.5分</w:t>
            </w:r>
            <w:r>
              <w:rPr>
                <w:rFonts w:ascii="宋体" w:hAnsi="宋体" w:cs="宋体"/>
                <w:sz w:val="21"/>
                <w:szCs w:val="21"/>
              </w:rPr>
              <w:t xml:space="preserve">/</w:t>
            </w:r>
            <w:r>
              <w:rPr>
                <w:rFonts w:hint="eastAsia" w:ascii="宋体" w:hAnsi="宋体" w:cs="宋体"/>
                <w:sz w:val="21"/>
                <w:szCs w:val="21"/>
              </w:rPr>
              <w:t xml:space="preserve">项，扣完为止。</w:t>
            </w:r>
            <w:r/>
          </w:p>
        </w:tc>
      </w:tr>
      <w:tr>
        <w:trPr>
          <w:jc w:val="center"/>
          <w:trHeight w:val="1022"/>
        </w:trPr>
        <w:tc>
          <w:tcPr>
            <w:tcBorders>
              <w:top w:val="single" w:color="auto" w:sz="4" w:space="0"/>
              <w:left w:val="single" w:color="auto" w:sz="4" w:space="0"/>
              <w:right w:val="single" w:color="auto" w:sz="4" w:space="0"/>
            </w:tcBorders>
            <w:tcW w:w="212" w:type="pct"/>
            <w:vAlign w:val="center"/>
            <w:textDirection w:val="lrTb"/>
            <w:noWrap w:val="false"/>
          </w:tcPr>
          <w:p>
            <w:pPr>
              <w:ind w:left="0" w:firstLine="0"/>
              <w:jc w:val="center"/>
              <w:keepLines w:val="0"/>
              <w:keepNext w:val="0"/>
              <w:pageBreakBefore w:val="0"/>
              <w:spacing w:line="280" w:lineRule="exact"/>
              <w:rPr>
                <w:rFonts w:hint="eastAsia" w:eastAsia="宋体"/>
                <w:color w:val="000000"/>
                <w:sz w:val="21"/>
                <w:szCs w:val="21"/>
                <w:lang w:eastAsia="zh-CN"/>
              </w:rPr>
            </w:pPr>
            <w:r>
              <w:rPr>
                <w:rFonts w:hint="eastAsia"/>
                <w:color w:val="000000"/>
                <w:sz w:val="21"/>
                <w:szCs w:val="21"/>
                <w:lang w:val="en-US" w:eastAsia="zh-CN"/>
              </w:rPr>
              <w:t xml:space="preserve">3</w:t>
            </w:r>
            <w:r/>
          </w:p>
        </w:tc>
        <w:tc>
          <w:tcPr>
            <w:tcBorders>
              <w:top w:val="single" w:color="auto" w:sz="4" w:space="0"/>
              <w:left w:val="single" w:color="auto" w:sz="4" w:space="0"/>
              <w:right w:val="single" w:color="auto" w:sz="4" w:space="0"/>
            </w:tcBorders>
            <w:tcW w:w="594" w:type="pct"/>
            <w:vAlign w:val="center"/>
            <w:vMerge w:val="restart"/>
            <w:textDirection w:val="lrTb"/>
            <w:noWrap w:val="false"/>
          </w:tcPr>
          <w:p>
            <w:pPr>
              <w:ind w:left="0" w:firstLine="0"/>
              <w:jc w:val="both"/>
              <w:spacing w:line="276" w:lineRule="auto"/>
              <w:rPr>
                <w:rFonts w:hint="eastAsia"/>
                <w:color w:val="000000"/>
                <w:sz w:val="21"/>
                <w:szCs w:val="21"/>
              </w:rPr>
            </w:pPr>
            <w:r>
              <w:rPr>
                <w:rFonts w:hint="eastAsia" w:ascii="宋体" w:hAnsi="宋体"/>
                <w:color w:val="000000"/>
                <w:sz w:val="21"/>
                <w:szCs w:val="21"/>
              </w:rPr>
              <w:t xml:space="preserve">商务部分</w:t>
            </w:r>
            <w:r/>
          </w:p>
          <w:p>
            <w:pPr>
              <w:jc w:val="center"/>
              <w:keepLines w:val="0"/>
              <w:keepNext w:val="0"/>
              <w:pageBreakBefore w:val="0"/>
              <w:spacing w:line="280" w:lineRule="exact"/>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ind w:left="0" w:firstLine="0"/>
              <w:jc w:val="center"/>
              <w:keepLines w:val="0"/>
              <w:keepNext w:val="0"/>
              <w:pageBreakBefore w:val="0"/>
              <w:spacing w:line="280" w:lineRule="exact"/>
              <w:rPr>
                <w:color w:val="000000"/>
                <w:sz w:val="21"/>
                <w:szCs w:val="21"/>
              </w:rPr>
            </w:pPr>
            <w:r>
              <w:rPr>
                <w:sz w:val="21"/>
                <w:szCs w:val="21"/>
              </w:rPr>
              <w:t xml:space="preserve">企业</w:t>
            </w:r>
            <w:r>
              <w:rPr>
                <w:rFonts w:hint="eastAsia"/>
                <w:sz w:val="21"/>
                <w:szCs w:val="21"/>
              </w:rPr>
              <w:t xml:space="preserve">综合</w:t>
            </w:r>
            <w:r>
              <w:rPr>
                <w:sz w:val="21"/>
                <w:szCs w:val="21"/>
              </w:rPr>
              <w:t xml:space="preserve">实力</w:t>
            </w:r>
            <w:r>
              <w:rPr>
                <w:rFonts w:hint="eastAsia"/>
                <w:sz w:val="21"/>
                <w:szCs w:val="21"/>
                <w:lang w:val="en-US" w:eastAsia="zh-CN"/>
              </w:rPr>
              <w:t xml:space="preserve">（3）分</w:t>
            </w:r>
            <w:r/>
          </w:p>
        </w:tc>
        <w:tc>
          <w:tcPr>
            <w:tcBorders>
              <w:top w:val="single" w:color="auto" w:sz="4" w:space="0"/>
              <w:left w:val="single" w:color="auto" w:sz="4" w:space="0"/>
              <w:bottom w:val="single" w:color="auto" w:sz="4" w:space="0"/>
              <w:right w:val="single" w:color="auto" w:sz="4" w:space="0"/>
            </w:tcBorders>
            <w:tcW w:w="3497" w:type="pct"/>
            <w:vAlign w:val="center"/>
            <w:textDirection w:val="lrTb"/>
            <w:noWrap w:val="false"/>
          </w:tcPr>
          <w:p>
            <w:pPr>
              <w:pStyle w:val="1130"/>
              <w:ind w:left="0" w:right="133" w:firstLine="0"/>
              <w:keepLines w:val="0"/>
              <w:keepNext w:val="0"/>
              <w:pageBreakBefore w:val="0"/>
              <w:spacing w:before="172" w:line="280" w:lineRule="exact"/>
              <w:rPr>
                <w:color w:val="000000"/>
                <w:sz w:val="21"/>
                <w:szCs w:val="21"/>
              </w:rPr>
            </w:pPr>
            <w:r>
              <w:rPr>
                <w:rFonts w:hint="eastAsia"/>
                <w:sz w:val="21"/>
                <w:szCs w:val="21"/>
              </w:rPr>
              <w:t xml:space="preserve">投标人提供有效期内的 ISO9001 质量管理体系、ISO14001 环境管理体系、ISO45001 职业健康管理体系认证证书；每提供一项满足要求的证书得</w:t>
            </w:r>
            <w:r>
              <w:rPr>
                <w:rFonts w:hint="eastAsia"/>
                <w:sz w:val="21"/>
                <w:szCs w:val="21"/>
                <w:lang w:val="en-US" w:eastAsia="zh-CN"/>
              </w:rPr>
              <w:t xml:space="preserve">1</w:t>
            </w:r>
            <w:r>
              <w:rPr>
                <w:rFonts w:hint="eastAsia"/>
                <w:sz w:val="21"/>
                <w:szCs w:val="21"/>
              </w:rPr>
              <w:t xml:space="preserve">分，共 3分。投标时提供以上证书原件彩色扫描件</w:t>
            </w:r>
            <w:r>
              <w:rPr>
                <w:rFonts w:hint="eastAsia"/>
                <w:sz w:val="21"/>
                <w:szCs w:val="21"/>
                <w:highlight w:val="none"/>
              </w:rPr>
              <w:t xml:space="preserve">及国家认证认可监督管理委员会官网查询截图</w:t>
            </w:r>
            <w:r>
              <w:rPr>
                <w:rFonts w:hint="eastAsia"/>
                <w:sz w:val="21"/>
                <w:szCs w:val="21"/>
                <w:highlight w:val="none"/>
                <w:lang w:val="en-US" w:eastAsia="zh-CN"/>
              </w:rPr>
              <w:t xml:space="preserve">,</w:t>
            </w:r>
            <w:r>
              <w:rPr>
                <w:rFonts w:hint="eastAsia"/>
                <w:sz w:val="21"/>
                <w:szCs w:val="21"/>
                <w:highlight w:val="none"/>
              </w:rPr>
              <w:t xml:space="preserve">未提供</w:t>
            </w:r>
            <w:r>
              <w:rPr>
                <w:rFonts w:hint="eastAsia"/>
                <w:sz w:val="21"/>
                <w:szCs w:val="21"/>
                <w:highlight w:val="none"/>
                <w:lang w:val="en-US" w:eastAsia="zh-CN"/>
              </w:rPr>
              <w:t xml:space="preserve">或提供不全</w:t>
            </w:r>
            <w:r>
              <w:rPr>
                <w:rFonts w:hint="eastAsia"/>
                <w:sz w:val="21"/>
                <w:szCs w:val="21"/>
                <w:highlight w:val="none"/>
              </w:rPr>
              <w:t xml:space="preserve">不得分。</w:t>
            </w:r>
            <w:r/>
          </w:p>
        </w:tc>
      </w:tr>
      <w:tr>
        <w:trPr>
          <w:jc w:val="center"/>
          <w:trHeight w:val="476"/>
        </w:trPr>
        <w:tc>
          <w:tcPr>
            <w:tcBorders>
              <w:left w:val="single" w:color="auto" w:sz="4" w:space="0"/>
              <w:right w:val="single" w:color="auto" w:sz="4" w:space="0"/>
            </w:tcBorders>
            <w:tcW w:w="212" w:type="pct"/>
            <w:vAlign w:val="center"/>
            <w:textDirection w:val="lrTb"/>
            <w:noWrap w:val="false"/>
          </w:tcPr>
          <w:p>
            <w:pPr>
              <w:ind w:left="0" w:firstLine="0"/>
              <w:jc w:val="center"/>
              <w:keepLines w:val="0"/>
              <w:keepNext w:val="0"/>
              <w:pageBreakBefore w:val="0"/>
              <w:spacing w:line="280" w:lineRule="exact"/>
              <w:rPr>
                <w:rFonts w:hint="eastAsia" w:eastAsia="宋体"/>
                <w:color w:val="000000"/>
                <w:sz w:val="21"/>
                <w:szCs w:val="21"/>
                <w:lang w:val="en-US" w:eastAsia="zh-CN"/>
              </w:rPr>
            </w:pPr>
            <w:r>
              <w:rPr>
                <w:rFonts w:hint="eastAsia"/>
                <w:color w:val="000000"/>
                <w:sz w:val="21"/>
                <w:szCs w:val="21"/>
                <w:lang w:val="en-US" w:eastAsia="zh-CN"/>
              </w:rPr>
              <w:t xml:space="preserve">4</w:t>
            </w:r>
            <w:r/>
          </w:p>
        </w:tc>
        <w:tc>
          <w:tcPr>
            <w:tcBorders>
              <w:left w:val="single" w:color="auto" w:sz="4" w:space="0"/>
              <w:right w:val="single" w:color="auto" w:sz="4" w:space="0"/>
            </w:tcBorders>
            <w:tcW w:w="594" w:type="pct"/>
            <w:vAlign w:val="center"/>
            <w:vMerge w:val="continue"/>
            <w:textDirection w:val="lrTb"/>
            <w:noWrap w:val="false"/>
          </w:tcPr>
          <w:p>
            <w:pPr>
              <w:jc w:val="center"/>
              <w:keepLines w:val="0"/>
              <w:keepNext w:val="0"/>
              <w:pageBreakBefore w:val="0"/>
              <w:spacing w:line="280" w:lineRule="exact"/>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ind w:left="0" w:firstLine="0"/>
              <w:jc w:val="center"/>
              <w:keepLines w:val="0"/>
              <w:keepNext w:val="0"/>
              <w:pageBreakBefore w:val="0"/>
              <w:spacing w:line="280" w:lineRule="exact"/>
              <w:rPr>
                <w:rFonts w:hint="eastAsia" w:ascii="宋体" w:hAnsi="宋体" w:eastAsia="宋体" w:cs="宋体"/>
                <w:color w:val="000000"/>
                <w:sz w:val="21"/>
                <w:szCs w:val="21"/>
                <w:u w:val="none"/>
              </w:rPr>
            </w:pPr>
            <w:r>
              <w:rPr>
                <w:rFonts w:hint="eastAsia" w:ascii="宋体" w:hAnsi="宋体" w:eastAsia="宋体" w:cs="宋体"/>
                <w:color w:val="000000"/>
                <w:sz w:val="21"/>
                <w:szCs w:val="21"/>
                <w:u w:val="none"/>
              </w:rPr>
              <w:t xml:space="preserve">团队服务人员配备</w:t>
            </w:r>
            <w:r/>
          </w:p>
          <w:p>
            <w:pPr>
              <w:ind w:left="0" w:firstLine="0"/>
              <w:jc w:val="center"/>
              <w:keepLines w:val="0"/>
              <w:keepNext w:val="0"/>
              <w:pageBreakBefore w:val="0"/>
              <w:spacing w:line="280" w:lineRule="exact"/>
              <w:rPr>
                <w:color w:val="000000"/>
                <w:sz w:val="21"/>
                <w:szCs w:val="21"/>
              </w:rPr>
            </w:pPr>
            <w:r>
              <w:rPr>
                <w:rFonts w:hint="eastAsia"/>
                <w:sz w:val="21"/>
                <w:szCs w:val="21"/>
                <w:lang w:val="en-US" w:eastAsia="zh-CN"/>
              </w:rPr>
              <w:t xml:space="preserve">（3）分</w:t>
            </w:r>
            <w:r/>
          </w:p>
        </w:tc>
        <w:tc>
          <w:tcPr>
            <w:tcBorders>
              <w:top w:val="single" w:color="auto" w:sz="4" w:space="0"/>
              <w:left w:val="single" w:color="auto" w:sz="4" w:space="0"/>
              <w:bottom w:val="single" w:color="auto" w:sz="4" w:space="0"/>
              <w:right w:val="single" w:color="auto" w:sz="4" w:space="0"/>
            </w:tcBorders>
            <w:tcW w:w="3497" w:type="pct"/>
            <w:vAlign w:val="center"/>
            <w:textDirection w:val="lrTb"/>
            <w:noWrap w:val="false"/>
          </w:tcPr>
          <w:p>
            <w:pPr>
              <w:pStyle w:val="1130"/>
              <w:ind w:left="0" w:right="130" w:firstLine="0"/>
              <w:keepLines w:val="0"/>
              <w:keepNext w:val="0"/>
              <w:pageBreakBefore w:val="0"/>
              <w:spacing w:before="172" w:line="2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团队服务人员配备：</w:t>
            </w:r>
            <w:r/>
          </w:p>
          <w:p>
            <w:pPr>
              <w:pStyle w:val="1130"/>
              <w:ind w:left="0" w:right="130" w:firstLine="0"/>
              <w:keepLines w:val="0"/>
              <w:keepNext w:val="0"/>
              <w:pageBreakBefore w:val="0"/>
              <w:spacing w:before="172" w:line="2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投标人配备应急管理部门（或安全生产监督管理部门）颁发的“制冷与空调作业”特种作业操作证人员，按以下标准评审计分：</w:t>
            </w:r>
            <w:r/>
          </w:p>
          <w:tbl>
            <w:tblPr>
              <w:tblStyle w:val="964"/>
              <w:tblW w:w="71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28"/>
              <w:gridCol w:w="3520"/>
            </w:tblGrid>
            <w:tr>
              <w:trPr>
                <w:trHeight w:val="410"/>
              </w:trPr>
              <w:tc>
                <w:tcPr>
                  <w:tcW w:w="3628" w:type="dxa"/>
                  <w:vAlign w:val="top"/>
                  <w:textDirection w:val="lrTb"/>
                  <w:noWrap w:val="false"/>
                </w:tcPr>
                <w:p>
                  <w:pPr>
                    <w:pStyle w:val="1130"/>
                    <w:ind w:left="0" w:right="0" w:firstLine="0"/>
                    <w:jc w:val="left"/>
                    <w:keepLines w:val="0"/>
                    <w:keepNext w:val="0"/>
                    <w:pageBreakBefore w:val="0"/>
                    <w:spacing w:before="98" w:line="280" w:lineRule="exact"/>
                    <w:rPr>
                      <w:color w:val="000000"/>
                      <w:sz w:val="21"/>
                      <w:szCs w:val="21"/>
                      <w:u w:val="none"/>
                      <w:vertAlign w:val="baseline"/>
                    </w:rPr>
                  </w:pPr>
                  <w:r>
                    <w:rPr>
                      <w:color w:val="000000"/>
                      <w:sz w:val="21"/>
                      <w:szCs w:val="21"/>
                      <w:u w:val="none"/>
                    </w:rPr>
                    <w:t xml:space="preserve">配备“制冷与空调作业”特种作业操作证人员数量</w:t>
                  </w:r>
                  <w:r/>
                </w:p>
              </w:tc>
              <w:tc>
                <w:tcPr>
                  <w:tcW w:w="3520" w:type="dxa"/>
                  <w:vAlign w:val="top"/>
                  <w:textDirection w:val="lrTb"/>
                  <w:noWrap w:val="false"/>
                </w:tcPr>
                <w:p>
                  <w:pPr>
                    <w:pStyle w:val="1130"/>
                    <w:ind w:left="0" w:firstLine="0"/>
                    <w:jc w:val="center"/>
                    <w:keepLines w:val="0"/>
                    <w:keepNext w:val="0"/>
                    <w:pageBreakBefore w:val="0"/>
                    <w:spacing w:before="98" w:line="280" w:lineRule="exact"/>
                    <w:rPr>
                      <w:color w:val="000000"/>
                      <w:sz w:val="21"/>
                      <w:szCs w:val="21"/>
                      <w:u w:val="none"/>
                      <w:vertAlign w:val="baseline"/>
                    </w:rPr>
                  </w:pPr>
                  <w:r>
                    <w:rPr>
                      <w:color w:val="000000"/>
                      <w:sz w:val="21"/>
                      <w:szCs w:val="21"/>
                      <w:u w:val="none"/>
                    </w:rPr>
                    <w:t xml:space="preserve">得分</w:t>
                  </w:r>
                  <w:r/>
                </w:p>
              </w:tc>
            </w:tr>
            <w:tr>
              <w:trPr>
                <w:trHeight w:val="229"/>
              </w:trPr>
              <w:tc>
                <w:tcPr>
                  <w:tcW w:w="3628" w:type="dxa"/>
                  <w:vAlign w:val="top"/>
                  <w:textDirection w:val="lrTb"/>
                  <w:noWrap w:val="false"/>
                </w:tcPr>
                <w:p>
                  <w:pPr>
                    <w:pStyle w:val="1130"/>
                    <w:ind w:left="107" w:right="0"/>
                    <w:jc w:val="center"/>
                    <w:keepLines w:val="0"/>
                    <w:keepNext w:val="0"/>
                    <w:pageBreakBefore w:val="0"/>
                    <w:spacing w:before="98" w:line="280" w:lineRule="exact"/>
                    <w:rPr>
                      <w:color w:val="000000"/>
                      <w:sz w:val="21"/>
                      <w:szCs w:val="21"/>
                      <w:u w:val="none"/>
                      <w:vertAlign w:val="baseline"/>
                    </w:rPr>
                  </w:pPr>
                  <w:r>
                    <w:rPr>
                      <w:color w:val="000000"/>
                      <w:sz w:val="21"/>
                      <w:szCs w:val="21"/>
                      <w:u w:val="none"/>
                    </w:rPr>
                    <w:t xml:space="preserve">0 人</w:t>
                  </w:r>
                  <w:r/>
                </w:p>
              </w:tc>
              <w:tc>
                <w:tcPr>
                  <w:tcW w:w="3520" w:type="dxa"/>
                  <w:vAlign w:val="top"/>
                  <w:textDirection w:val="lrTb"/>
                  <w:noWrap w:val="false"/>
                </w:tcPr>
                <w:p>
                  <w:pPr>
                    <w:pStyle w:val="1130"/>
                    <w:ind w:left="107"/>
                    <w:jc w:val="center"/>
                    <w:keepLines w:val="0"/>
                    <w:keepNext w:val="0"/>
                    <w:pageBreakBefore w:val="0"/>
                    <w:spacing w:before="98" w:line="280" w:lineRule="exact"/>
                    <w:rPr>
                      <w:color w:val="000000"/>
                      <w:sz w:val="21"/>
                      <w:szCs w:val="21"/>
                      <w:u w:val="none"/>
                      <w:vertAlign w:val="baseline"/>
                    </w:rPr>
                  </w:pPr>
                  <w:r>
                    <w:rPr>
                      <w:color w:val="000000"/>
                      <w:sz w:val="21"/>
                      <w:szCs w:val="21"/>
                      <w:u w:val="none"/>
                    </w:rPr>
                    <w:t xml:space="preserve">0 分</w:t>
                  </w:r>
                  <w:r/>
                </w:p>
              </w:tc>
            </w:tr>
            <w:tr>
              <w:trPr>
                <w:trHeight w:val="229"/>
              </w:trPr>
              <w:tc>
                <w:tcPr>
                  <w:tcW w:w="3628" w:type="dxa"/>
                  <w:vAlign w:val="top"/>
                  <w:textDirection w:val="lrTb"/>
                  <w:noWrap w:val="false"/>
                </w:tcPr>
                <w:p>
                  <w:pPr>
                    <w:pStyle w:val="1130"/>
                    <w:ind w:left="107" w:right="0"/>
                    <w:jc w:val="center"/>
                    <w:keepLines w:val="0"/>
                    <w:keepNext w:val="0"/>
                    <w:pageBreakBefore w:val="0"/>
                    <w:spacing w:before="98" w:line="280" w:lineRule="exact"/>
                    <w:rPr>
                      <w:color w:val="000000"/>
                      <w:sz w:val="21"/>
                      <w:szCs w:val="21"/>
                      <w:u w:val="none"/>
                      <w:vertAlign w:val="baseline"/>
                    </w:rPr>
                  </w:pPr>
                  <w:r>
                    <w:rPr>
                      <w:color w:val="000000"/>
                      <w:sz w:val="21"/>
                      <w:szCs w:val="21"/>
                      <w:u w:val="none"/>
                    </w:rPr>
                    <w:t xml:space="preserve">1-2 人</w:t>
                  </w:r>
                  <w:r/>
                </w:p>
              </w:tc>
              <w:tc>
                <w:tcPr>
                  <w:tcW w:w="3520" w:type="dxa"/>
                  <w:vAlign w:val="top"/>
                  <w:textDirection w:val="lrTb"/>
                  <w:noWrap w:val="false"/>
                </w:tcPr>
                <w:p>
                  <w:pPr>
                    <w:pStyle w:val="1130"/>
                    <w:ind w:left="107"/>
                    <w:jc w:val="center"/>
                    <w:keepLines w:val="0"/>
                    <w:keepNext w:val="0"/>
                    <w:pageBreakBefore w:val="0"/>
                    <w:spacing w:before="98" w:line="280" w:lineRule="exact"/>
                    <w:rPr>
                      <w:color w:val="000000"/>
                      <w:sz w:val="21"/>
                      <w:szCs w:val="21"/>
                      <w:u w:val="none"/>
                      <w:vertAlign w:val="baseline"/>
                    </w:rPr>
                  </w:pPr>
                  <w:r>
                    <w:rPr>
                      <w:color w:val="000000"/>
                      <w:sz w:val="21"/>
                      <w:szCs w:val="21"/>
                      <w:u w:val="none"/>
                    </w:rPr>
                    <w:t xml:space="preserve">0.5 分</w:t>
                  </w:r>
                  <w:r/>
                </w:p>
              </w:tc>
            </w:tr>
            <w:tr>
              <w:trPr>
                <w:trHeight w:val="229"/>
              </w:trPr>
              <w:tc>
                <w:tcPr>
                  <w:tcW w:w="3628" w:type="dxa"/>
                  <w:vAlign w:val="top"/>
                  <w:textDirection w:val="lrTb"/>
                  <w:noWrap w:val="false"/>
                </w:tcPr>
                <w:p>
                  <w:pPr>
                    <w:pStyle w:val="1130"/>
                    <w:ind w:left="107" w:right="0"/>
                    <w:jc w:val="center"/>
                    <w:keepLines w:val="0"/>
                    <w:keepNext w:val="0"/>
                    <w:pageBreakBefore w:val="0"/>
                    <w:spacing w:before="98" w:line="280" w:lineRule="exact"/>
                    <w:rPr>
                      <w:color w:val="000000"/>
                      <w:sz w:val="21"/>
                      <w:szCs w:val="21"/>
                      <w:u w:val="none"/>
                      <w:vertAlign w:val="baseline"/>
                    </w:rPr>
                  </w:pPr>
                  <w:r>
                    <w:rPr>
                      <w:color w:val="000000"/>
                      <w:sz w:val="21"/>
                      <w:szCs w:val="21"/>
                      <w:u w:val="none"/>
                    </w:rPr>
                    <w:t xml:space="preserve">3-8 人</w:t>
                  </w:r>
                  <w:r/>
                </w:p>
              </w:tc>
              <w:tc>
                <w:tcPr>
                  <w:tcW w:w="3520" w:type="dxa"/>
                  <w:vAlign w:val="top"/>
                  <w:textDirection w:val="lrTb"/>
                  <w:noWrap w:val="false"/>
                </w:tcPr>
                <w:p>
                  <w:pPr>
                    <w:pStyle w:val="1130"/>
                    <w:ind w:left="107"/>
                    <w:jc w:val="center"/>
                    <w:keepLines w:val="0"/>
                    <w:keepNext w:val="0"/>
                    <w:pageBreakBefore w:val="0"/>
                    <w:spacing w:before="98" w:line="280" w:lineRule="exact"/>
                    <w:rPr>
                      <w:color w:val="000000"/>
                      <w:sz w:val="21"/>
                      <w:szCs w:val="21"/>
                      <w:u w:val="none"/>
                      <w:vertAlign w:val="baseline"/>
                    </w:rPr>
                  </w:pPr>
                  <w:r>
                    <w:rPr>
                      <w:color w:val="000000"/>
                      <w:sz w:val="21"/>
                      <w:szCs w:val="21"/>
                      <w:u w:val="none"/>
                    </w:rPr>
                    <w:t xml:space="preserve">1.5 分</w:t>
                  </w:r>
                  <w:r/>
                </w:p>
              </w:tc>
            </w:tr>
            <w:tr>
              <w:trPr>
                <w:trHeight w:val="233"/>
              </w:trPr>
              <w:tc>
                <w:tcPr>
                  <w:tcW w:w="3628" w:type="dxa"/>
                  <w:vAlign w:val="top"/>
                  <w:textDirection w:val="lrTb"/>
                  <w:noWrap w:val="false"/>
                </w:tcPr>
                <w:p>
                  <w:pPr>
                    <w:pStyle w:val="1130"/>
                    <w:ind w:left="107" w:right="0"/>
                    <w:jc w:val="center"/>
                    <w:keepLines w:val="0"/>
                    <w:keepNext w:val="0"/>
                    <w:pageBreakBefore w:val="0"/>
                    <w:spacing w:before="98" w:line="280" w:lineRule="exact"/>
                    <w:rPr>
                      <w:color w:val="000000"/>
                      <w:sz w:val="21"/>
                      <w:szCs w:val="21"/>
                      <w:u w:val="none"/>
                      <w:vertAlign w:val="baseline"/>
                    </w:rPr>
                  </w:pPr>
                  <w:r>
                    <w:rPr>
                      <w:color w:val="000000"/>
                      <w:sz w:val="21"/>
                      <w:szCs w:val="21"/>
                      <w:u w:val="none"/>
                    </w:rPr>
                    <w:t xml:space="preserve">8 人以上</w:t>
                  </w:r>
                  <w:r/>
                </w:p>
              </w:tc>
              <w:tc>
                <w:tcPr>
                  <w:tcW w:w="3520" w:type="dxa"/>
                  <w:vAlign w:val="top"/>
                  <w:textDirection w:val="lrTb"/>
                  <w:noWrap w:val="false"/>
                </w:tcPr>
                <w:p>
                  <w:pPr>
                    <w:pStyle w:val="1130"/>
                    <w:ind w:left="107" w:right="0"/>
                    <w:jc w:val="center"/>
                    <w:keepLines w:val="0"/>
                    <w:keepNext w:val="0"/>
                    <w:pageBreakBefore w:val="0"/>
                    <w:spacing w:before="98" w:line="280" w:lineRule="exact"/>
                    <w:rPr>
                      <w:color w:val="000000"/>
                      <w:sz w:val="21"/>
                      <w:szCs w:val="21"/>
                      <w:u w:val="none"/>
                      <w:vertAlign w:val="baseline"/>
                    </w:rPr>
                  </w:pPr>
                  <w:r>
                    <w:rPr>
                      <w:rFonts w:hint="eastAsia"/>
                      <w:color w:val="000000"/>
                      <w:sz w:val="21"/>
                      <w:szCs w:val="21"/>
                      <w:u w:val="none"/>
                      <w:lang w:val="en-US" w:eastAsia="zh-CN"/>
                    </w:rPr>
                    <w:t xml:space="preserve">3</w:t>
                  </w:r>
                  <w:r>
                    <w:rPr>
                      <w:color w:val="000000"/>
                      <w:sz w:val="21"/>
                      <w:szCs w:val="21"/>
                      <w:u w:val="none"/>
                    </w:rPr>
                    <w:t xml:space="preserve">分</w:t>
                  </w:r>
                  <w:r/>
                </w:p>
              </w:tc>
            </w:tr>
          </w:tbl>
          <w:p>
            <w:pPr>
              <w:pStyle w:val="1130"/>
              <w:ind w:right="133"/>
              <w:keepLines w:val="0"/>
              <w:keepNext w:val="0"/>
              <w:pageBreakBefore w:val="0"/>
              <w:spacing w:before="172" w:line="280" w:lineRule="exact"/>
              <w:rPr>
                <w:rFonts w:hint="eastAsia" w:ascii="宋体" w:hAnsi="宋体" w:eastAsia="宋体" w:cs="宋体"/>
                <w:sz w:val="21"/>
                <w:szCs w:val="21"/>
              </w:rPr>
            </w:pPr>
            <w:r>
              <w:rPr>
                <w:rFonts w:hint="eastAsia" w:ascii="宋体" w:hAnsi="宋体" w:eastAsia="宋体" w:cs="宋体"/>
                <w:color w:val="000000"/>
                <w:sz w:val="21"/>
                <w:szCs w:val="21"/>
                <w:u w:val="none"/>
              </w:rPr>
              <w:t xml:space="preserve">注：上述人员均须为投标人本单位正式职工，投标时需提供相关证书及为其缴纳近六个月来至少连续 </w:t>
            </w:r>
            <w:r>
              <w:rPr>
                <w:rFonts w:hint="eastAsia" w:ascii="宋体" w:hAnsi="宋体" w:eastAsia="宋体" w:cs="宋体"/>
                <w:color w:val="000000"/>
                <w:sz w:val="21"/>
                <w:szCs w:val="21"/>
                <w:u w:val="none"/>
                <w:lang w:val="en-US" w:eastAsia="zh-CN"/>
              </w:rPr>
              <w:t xml:space="preserve">3</w:t>
            </w:r>
            <w:r>
              <w:rPr>
                <w:rFonts w:hint="eastAsia" w:ascii="宋体" w:hAnsi="宋体" w:eastAsia="宋体" w:cs="宋体"/>
                <w:color w:val="000000"/>
                <w:sz w:val="21"/>
                <w:szCs w:val="21"/>
                <w:u w:val="none"/>
              </w:rPr>
              <w:t xml:space="preserve"> 个月社保证明</w:t>
            </w:r>
            <w:r>
              <w:rPr>
                <w:rFonts w:hint="eastAsia" w:cs="宋体"/>
                <w:b/>
                <w:bCs/>
                <w:color w:val="000000"/>
                <w:sz w:val="21"/>
                <w:szCs w:val="21"/>
                <w:u w:val="none"/>
                <w:lang w:eastAsia="zh-CN"/>
              </w:rPr>
              <w:t xml:space="preserve">，</w:t>
            </w:r>
            <w:r>
              <w:rPr>
                <w:rFonts w:hint="eastAsia"/>
                <w:sz w:val="21"/>
                <w:szCs w:val="21"/>
                <w:highlight w:val="none"/>
              </w:rPr>
              <w:t xml:space="preserve">未提供</w:t>
            </w:r>
            <w:r>
              <w:rPr>
                <w:rFonts w:hint="eastAsia"/>
                <w:sz w:val="21"/>
                <w:szCs w:val="21"/>
                <w:highlight w:val="none"/>
                <w:lang w:val="en-US" w:eastAsia="zh-CN"/>
              </w:rPr>
              <w:t xml:space="preserve">或提供不全</w:t>
            </w:r>
            <w:r>
              <w:rPr>
                <w:rFonts w:hint="eastAsia"/>
                <w:sz w:val="21"/>
                <w:szCs w:val="21"/>
                <w:highlight w:val="none"/>
              </w:rPr>
              <w:t xml:space="preserve">不得分</w:t>
            </w:r>
            <w:r>
              <w:rPr>
                <w:rFonts w:hint="eastAsia" w:ascii="宋体" w:hAnsi="宋体" w:eastAsia="宋体" w:cs="宋体"/>
                <w:color w:val="000000"/>
                <w:sz w:val="21"/>
                <w:szCs w:val="21"/>
                <w:u w:val="none"/>
              </w:rPr>
              <w:t xml:space="preserve">。</w:t>
            </w:r>
            <w:r/>
          </w:p>
        </w:tc>
      </w:tr>
      <w:tr>
        <w:trPr>
          <w:jc w:val="center"/>
          <w:trHeight w:val="476"/>
        </w:trPr>
        <w:tc>
          <w:tcPr>
            <w:tcBorders>
              <w:left w:val="single" w:color="auto" w:sz="4" w:space="0"/>
              <w:right w:val="single" w:color="auto" w:sz="4" w:space="0"/>
            </w:tcBorders>
            <w:tcW w:w="212" w:type="pct"/>
            <w:vAlign w:val="center"/>
            <w:textDirection w:val="lrTb"/>
            <w:noWrap w:val="false"/>
          </w:tcPr>
          <w:p>
            <w:pPr>
              <w:ind w:left="0" w:firstLine="0"/>
              <w:jc w:val="center"/>
              <w:keepLines w:val="0"/>
              <w:keepNext w:val="0"/>
              <w:pageBreakBefore w:val="0"/>
              <w:spacing w:line="280" w:lineRule="exact"/>
              <w:rPr>
                <w:rFonts w:hint="eastAsia" w:eastAsia="宋体"/>
                <w:color w:val="000000"/>
                <w:sz w:val="21"/>
                <w:szCs w:val="21"/>
                <w:lang w:val="en-US" w:eastAsia="zh-CN"/>
              </w:rPr>
            </w:pPr>
            <w:r>
              <w:rPr>
                <w:rFonts w:hint="eastAsia"/>
                <w:color w:val="000000"/>
                <w:sz w:val="21"/>
                <w:szCs w:val="21"/>
                <w:lang w:val="en-US" w:eastAsia="zh-CN"/>
              </w:rPr>
              <w:t xml:space="preserve">5</w:t>
            </w:r>
            <w:r/>
          </w:p>
        </w:tc>
        <w:tc>
          <w:tcPr>
            <w:tcBorders>
              <w:left w:val="single" w:color="auto" w:sz="4" w:space="0"/>
              <w:right w:val="single" w:color="auto" w:sz="4" w:space="0"/>
            </w:tcBorders>
            <w:tcW w:w="594" w:type="pct"/>
            <w:vAlign w:val="center"/>
            <w:vMerge w:val="continue"/>
            <w:textDirection w:val="lrTb"/>
            <w:noWrap w:val="false"/>
          </w:tcPr>
          <w:p>
            <w:pPr>
              <w:ind w:left="0" w:firstLine="0"/>
              <w:jc w:val="center"/>
              <w:keepLines w:val="0"/>
              <w:keepNext w:val="0"/>
              <w:pageBreakBefore w:val="0"/>
              <w:spacing w:line="280" w:lineRule="exact"/>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ind w:left="0" w:firstLine="0"/>
              <w:jc w:val="center"/>
              <w:keepLines w:val="0"/>
              <w:keepNext w:val="0"/>
              <w:pageBreakBefore w:val="0"/>
              <w:spacing w:line="280" w:lineRule="exact"/>
              <w:rPr>
                <w:rFonts w:hint="eastAsia"/>
                <w:sz w:val="21"/>
                <w:szCs w:val="21"/>
                <w:lang w:val="en-US" w:eastAsia="zh-CN"/>
              </w:rPr>
            </w:pPr>
            <w:r>
              <w:rPr>
                <w:rFonts w:hint="eastAsia"/>
                <w:sz w:val="21"/>
                <w:szCs w:val="21"/>
                <w:lang w:val="en-US" w:eastAsia="zh-CN"/>
              </w:rPr>
              <w:t xml:space="preserve">业绩</w:t>
            </w:r>
            <w:r/>
          </w:p>
          <w:p>
            <w:pPr>
              <w:ind w:left="0" w:firstLine="0"/>
              <w:jc w:val="center"/>
              <w:keepLines w:val="0"/>
              <w:keepNext w:val="0"/>
              <w:pageBreakBefore w:val="0"/>
              <w:spacing w:line="280" w:lineRule="exact"/>
              <w:rPr>
                <w:rFonts w:hint="eastAsia" w:eastAsia="宋体"/>
                <w:sz w:val="21"/>
                <w:szCs w:val="21"/>
                <w:lang w:val="en-US" w:eastAsia="zh-CN"/>
              </w:rPr>
            </w:pPr>
            <w:r>
              <w:rPr>
                <w:rFonts w:hint="eastAsia"/>
                <w:sz w:val="21"/>
                <w:szCs w:val="21"/>
                <w:lang w:val="en-US" w:eastAsia="zh-CN"/>
              </w:rPr>
              <w:t xml:space="preserve">（2）分</w:t>
            </w:r>
            <w:r/>
          </w:p>
        </w:tc>
        <w:tc>
          <w:tcPr>
            <w:tcBorders>
              <w:top w:val="single" w:color="auto" w:sz="4" w:space="0"/>
              <w:left w:val="single" w:color="auto" w:sz="4" w:space="0"/>
              <w:bottom w:val="single" w:color="auto" w:sz="4" w:space="0"/>
              <w:right w:val="single" w:color="auto" w:sz="4" w:space="0"/>
            </w:tcBorders>
            <w:tcW w:w="3497" w:type="pct"/>
            <w:vAlign w:val="center"/>
            <w:textDirection w:val="lrTb"/>
            <w:noWrap w:val="false"/>
          </w:tcPr>
          <w:p>
            <w:pPr>
              <w:keepLines w:val="0"/>
              <w:keepNext w:val="0"/>
              <w:pageBreakBefore w:val="0"/>
              <w:spacing w:line="280" w:lineRule="exact"/>
              <w:widowControl/>
              <w:rPr>
                <w:rFonts w:hint="eastAsia"/>
                <w:sz w:val="21"/>
                <w:szCs w:val="21"/>
              </w:rPr>
            </w:pPr>
            <w:r>
              <w:rPr>
                <w:rFonts w:hint="eastAsia"/>
                <w:sz w:val="21"/>
                <w:szCs w:val="21"/>
              </w:rPr>
              <w:t xml:space="preserve">投标人自202</w:t>
            </w:r>
            <w:r>
              <w:rPr>
                <w:rFonts w:hint="eastAsia"/>
                <w:sz w:val="21"/>
                <w:szCs w:val="21"/>
                <w:lang w:val="en-US" w:eastAsia="zh-CN"/>
              </w:rPr>
              <w:t xml:space="preserve">2</w:t>
            </w:r>
            <w:r>
              <w:rPr>
                <w:rFonts w:hint="eastAsia"/>
                <w:sz w:val="21"/>
                <w:szCs w:val="21"/>
              </w:rPr>
              <w:t xml:space="preserve">年1月1日以来（以合同签订时间为准）承接过</w:t>
            </w:r>
            <w:r>
              <w:rPr>
                <w:rFonts w:hint="eastAsia"/>
                <w:sz w:val="21"/>
                <w:szCs w:val="21"/>
                <w:lang w:val="en-US" w:eastAsia="zh-CN"/>
              </w:rPr>
              <w:t xml:space="preserve">空调安装工程</w:t>
            </w:r>
            <w:r>
              <w:rPr>
                <w:rFonts w:hint="eastAsia"/>
                <w:sz w:val="21"/>
                <w:szCs w:val="21"/>
              </w:rPr>
              <w:t xml:space="preserve">的合同及中标通知书。每提供一份得</w:t>
            </w:r>
            <w:r>
              <w:rPr>
                <w:rFonts w:hint="eastAsia"/>
                <w:sz w:val="21"/>
                <w:szCs w:val="21"/>
                <w:lang w:val="en-US" w:eastAsia="zh-CN"/>
              </w:rPr>
              <w:t xml:space="preserve">1</w:t>
            </w:r>
            <w:r>
              <w:rPr>
                <w:rFonts w:hint="eastAsia"/>
                <w:sz w:val="21"/>
                <w:szCs w:val="21"/>
              </w:rPr>
              <w:t xml:space="preserve">分，本项最高得</w:t>
            </w:r>
            <w:r>
              <w:rPr>
                <w:rFonts w:hint="eastAsia"/>
                <w:sz w:val="21"/>
                <w:szCs w:val="21"/>
                <w:lang w:val="en-US" w:eastAsia="zh-CN"/>
              </w:rPr>
              <w:t xml:space="preserve">2</w:t>
            </w:r>
            <w:r>
              <w:rPr>
                <w:rFonts w:hint="eastAsia"/>
                <w:sz w:val="21"/>
                <w:szCs w:val="21"/>
              </w:rPr>
              <w:t xml:space="preserve">分。</w:t>
            </w:r>
            <w:r/>
          </w:p>
          <w:p>
            <w:pPr>
              <w:keepLines w:val="0"/>
              <w:keepNext w:val="0"/>
              <w:pageBreakBefore w:val="0"/>
              <w:spacing w:line="280" w:lineRule="exact"/>
              <w:widowControl/>
              <w:rPr>
                <w:rFonts w:hint="eastAsia" w:ascii="宋体" w:hAnsi="宋体" w:eastAsia="宋体" w:cs="宋体"/>
                <w:color w:val="000000"/>
                <w:sz w:val="21"/>
                <w:szCs w:val="21"/>
                <w:u w:val="none"/>
              </w:rPr>
            </w:pPr>
            <w:r>
              <w:rPr>
                <w:rFonts w:hint="eastAsia"/>
                <w:sz w:val="21"/>
                <w:szCs w:val="21"/>
              </w:rPr>
              <w:t xml:space="preserve">投标人投标时必须提供业绩合同及中标通知书原件彩色扫描件加盖单位公章。</w:t>
            </w:r>
            <w:r>
              <w:rPr>
                <w:rFonts w:hint="eastAsia"/>
                <w:sz w:val="21"/>
                <w:szCs w:val="21"/>
                <w:highlight w:val="none"/>
              </w:rPr>
              <w:t xml:space="preserve">未提供</w:t>
            </w:r>
            <w:r>
              <w:rPr>
                <w:rFonts w:hint="eastAsia"/>
                <w:sz w:val="21"/>
                <w:szCs w:val="21"/>
                <w:highlight w:val="none"/>
                <w:lang w:val="en-US" w:eastAsia="zh-CN"/>
              </w:rPr>
              <w:t xml:space="preserve">或提供不全</w:t>
            </w:r>
            <w:r>
              <w:rPr>
                <w:rFonts w:hint="eastAsia"/>
                <w:sz w:val="21"/>
                <w:szCs w:val="21"/>
                <w:highlight w:val="none"/>
              </w:rPr>
              <w:t xml:space="preserve">不得分。</w:t>
            </w:r>
            <w:r/>
          </w:p>
        </w:tc>
      </w:tr>
      <w:tr>
        <w:trPr>
          <w:jc w:val="center"/>
          <w:trHeight w:val="666"/>
        </w:trPr>
        <w:tc>
          <w:tcPr>
            <w:tcBorders>
              <w:top w:val="single" w:color="auto" w:sz="4" w:space="0"/>
              <w:left w:val="single" w:color="auto" w:sz="4" w:space="0"/>
              <w:bottom w:val="single" w:color="auto" w:sz="4" w:space="0"/>
              <w:right w:val="single" w:color="auto" w:sz="4" w:space="0"/>
            </w:tcBorders>
            <w:tcW w:w="212" w:type="pct"/>
            <w:vAlign w:val="center"/>
            <w:textDirection w:val="lrTb"/>
            <w:noWrap w:val="false"/>
          </w:tcPr>
          <w:p>
            <w:pPr>
              <w:ind w:left="0" w:firstLine="0"/>
              <w:jc w:val="center"/>
              <w:keepLines w:val="0"/>
              <w:keepNext w:val="0"/>
              <w:pageBreakBefore w:val="0"/>
              <w:spacing w:line="280" w:lineRule="exact"/>
              <w:rPr>
                <w:rFonts w:hint="eastAsia" w:eastAsia="宋体"/>
                <w:color w:val="000000"/>
                <w:sz w:val="21"/>
                <w:szCs w:val="21"/>
                <w:lang w:eastAsia="zh-CN"/>
              </w:rPr>
            </w:pPr>
            <w:r>
              <w:rPr>
                <w:rFonts w:hint="eastAsia"/>
                <w:color w:val="000000"/>
                <w:sz w:val="21"/>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94" w:type="pct"/>
            <w:vAlign w:val="center"/>
            <w:vMerge w:val="restart"/>
            <w:textDirection w:val="lrTb"/>
            <w:noWrap w:val="false"/>
          </w:tcPr>
          <w:p>
            <w:pPr>
              <w:ind w:left="0" w:firstLine="0"/>
              <w:jc w:val="center"/>
              <w:keepLines w:val="0"/>
              <w:keepNext w:val="0"/>
              <w:pageBreakBefore w:val="0"/>
              <w:spacing w:line="280" w:lineRule="exact"/>
              <w:rPr>
                <w:rFonts w:hint="eastAsia"/>
                <w:color w:val="000000"/>
                <w:sz w:val="21"/>
                <w:szCs w:val="21"/>
              </w:rPr>
            </w:pPr>
            <w:r>
              <w:rPr>
                <w:rFonts w:hint="eastAsia" w:ascii="宋体" w:hAnsi="宋体"/>
                <w:color w:val="000000"/>
                <w:sz w:val="21"/>
                <w:szCs w:val="21"/>
              </w:rPr>
              <w:t xml:space="preserve">安装及调试方案</w:t>
            </w:r>
            <w:r/>
          </w:p>
          <w:p>
            <w:pPr>
              <w:ind w:left="0" w:firstLine="0"/>
              <w:jc w:val="center"/>
              <w:keepLines w:val="0"/>
              <w:keepNext w:val="0"/>
              <w:pageBreakBefore w:val="0"/>
              <w:spacing w:line="280" w:lineRule="exact"/>
              <w:rPr>
                <w:rFonts w:hint="eastAsia"/>
                <w:color w:val="000000"/>
                <w:sz w:val="21"/>
                <w:szCs w:val="21"/>
              </w:rPr>
            </w:pPr>
            <w:r>
              <w:rPr>
                <w:rFonts w:hint="eastAsia"/>
                <w:color w:val="000000"/>
                <w:sz w:val="21"/>
                <w:szCs w:val="21"/>
                <w:u w:val="none"/>
                <w:lang w:val="en-US" w:eastAsia="zh-CN"/>
              </w:rPr>
              <w:t xml:space="preserve">（35）</w:t>
            </w:r>
            <w:r>
              <w:rPr>
                <w:rFonts w:hint="eastAsia"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ind w:firstLine="6"/>
              <w:jc w:val="center"/>
              <w:keepLines w:val="0"/>
              <w:keepNext w:val="0"/>
              <w:pageBreakBefore w:val="0"/>
              <w:spacing w:line="280" w:lineRule="exact"/>
              <w:rPr>
                <w:color w:val="000000"/>
                <w:sz w:val="21"/>
                <w:szCs w:val="21"/>
                <w:highlight w:val="none"/>
              </w:rPr>
            </w:pPr>
            <w:r>
              <w:rPr>
                <w:rFonts w:hint="eastAsia" w:ascii="宋体" w:hAnsi="宋体" w:cs="宋体"/>
                <w:sz w:val="21"/>
                <w:szCs w:val="21"/>
                <w:highlight w:val="none"/>
              </w:rPr>
              <w:t xml:space="preserve">供货、安装、调试、验收的方案和措施（</w:t>
            </w:r>
            <w:r>
              <w:rPr>
                <w:rFonts w:hint="eastAsia" w:cs="宋体"/>
                <w:sz w:val="21"/>
                <w:szCs w:val="21"/>
                <w:highlight w:val="none"/>
                <w:lang w:val="en-US" w:eastAsia="zh-CN"/>
              </w:rPr>
              <w:t xml:space="preserve">7</w:t>
            </w:r>
            <w:r>
              <w:rPr>
                <w:rFonts w:hint="eastAsia" w:ascii="宋体" w:hAnsi="宋体" w:cs="宋体"/>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497" w:type="pct"/>
            <w:vAlign w:val="center"/>
            <w:textDirection w:val="lrTb"/>
            <w:noWrap w:val="false"/>
          </w:tcPr>
          <w:p>
            <w:pPr>
              <w:pStyle w:val="1130"/>
              <w:ind w:right="133"/>
              <w:keepLines w:val="0"/>
              <w:keepNext w:val="0"/>
              <w:pageBreakBefore w:val="0"/>
              <w:spacing w:before="172" w:line="280" w:lineRule="exact"/>
              <w:rPr>
                <w:rFonts w:hint="eastAsia" w:ascii="宋体" w:hAnsi="宋体" w:eastAsia="宋体" w:cs="宋体"/>
                <w:sz w:val="21"/>
                <w:szCs w:val="21"/>
              </w:rPr>
            </w:pPr>
            <w:r>
              <w:rPr>
                <w:rFonts w:hint="eastAsia" w:ascii="宋体" w:hAnsi="宋体" w:eastAsia="宋体" w:cs="宋体"/>
                <w:sz w:val="21"/>
                <w:szCs w:val="21"/>
              </w:rPr>
              <w:t xml:space="preserve">提供供货、安装、调试、验收的方案和措施。具体、合理、切实可行的得</w:t>
            </w:r>
            <w:r>
              <w:rPr>
                <w:rFonts w:hint="eastAsia" w:cs="宋体"/>
                <w:sz w:val="21"/>
                <w:szCs w:val="21"/>
                <w:lang w:val="en-US" w:eastAsia="zh-CN"/>
              </w:rPr>
              <w:t xml:space="preserve">7</w:t>
            </w:r>
            <w:r>
              <w:rPr>
                <w:rFonts w:hint="eastAsia" w:ascii="宋体" w:hAnsi="宋体" w:eastAsia="宋体" w:cs="宋体"/>
                <w:sz w:val="21"/>
                <w:szCs w:val="21"/>
              </w:rPr>
              <w:t xml:space="preserve">分；内容基本完整、基本合理、基本可行的得</w:t>
            </w:r>
            <w:r>
              <w:rPr>
                <w:rFonts w:hint="eastAsia" w:cs="宋体"/>
                <w:sz w:val="21"/>
                <w:szCs w:val="21"/>
                <w:lang w:val="en-US" w:eastAsia="zh-CN"/>
              </w:rPr>
              <w:t xml:space="preserve">5</w:t>
            </w:r>
            <w:r>
              <w:rPr>
                <w:rFonts w:hint="eastAsia" w:ascii="宋体" w:hAnsi="宋体" w:eastAsia="宋体" w:cs="宋体"/>
                <w:sz w:val="21"/>
                <w:szCs w:val="21"/>
              </w:rPr>
              <w:t xml:space="preserve">分；内容差的得</w:t>
            </w:r>
            <w:r>
              <w:rPr>
                <w:rFonts w:hint="eastAsia" w:cs="宋体"/>
                <w:sz w:val="21"/>
                <w:szCs w:val="21"/>
                <w:lang w:val="en-US" w:eastAsia="zh-CN"/>
              </w:rPr>
              <w:t xml:space="preserve">2</w:t>
            </w:r>
            <w:r>
              <w:rPr>
                <w:rFonts w:hint="eastAsia" w:ascii="宋体" w:hAnsi="宋体" w:eastAsia="宋体" w:cs="宋体"/>
                <w:sz w:val="21"/>
                <w:szCs w:val="21"/>
              </w:rPr>
              <w:t xml:space="preserve">分</w:t>
            </w:r>
            <w:r>
              <w:rPr>
                <w:rFonts w:hint="eastAsia" w:cs="宋体"/>
                <w:sz w:val="21"/>
                <w:szCs w:val="21"/>
                <w:lang w:eastAsia="zh-CN"/>
              </w:rPr>
              <w:t xml:space="preserve">，</w:t>
            </w:r>
            <w:r>
              <w:rPr>
                <w:rFonts w:hint="eastAsia" w:ascii="宋体" w:hAnsi="宋体" w:eastAsia="宋体" w:cs="宋体"/>
                <w:sz w:val="21"/>
                <w:szCs w:val="21"/>
              </w:rPr>
              <w:t xml:space="preserve">未见阐述不得分。（建议页数 </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页）</w:t>
            </w:r>
            <w:r>
              <w:rPr>
                <w:rFonts w:hint="eastAsia" w:ascii="宋体" w:hAnsi="宋体" w:eastAsia="宋体" w:cs="宋体"/>
                <w:sz w:val="21"/>
                <w:szCs w:val="21"/>
                <w:lang w:val="en-US" w:eastAsia="zh-CN"/>
              </w:rPr>
              <w:t xml:space="preserve"> </w:t>
            </w:r>
            <w:r/>
          </w:p>
        </w:tc>
      </w:tr>
      <w:tr>
        <w:trPr>
          <w:jc w:val="center"/>
          <w:trHeight w:val="666"/>
        </w:trPr>
        <w:tc>
          <w:tcPr>
            <w:tcBorders>
              <w:left w:val="single" w:color="auto" w:sz="4" w:space="0"/>
              <w:right w:val="single" w:color="auto" w:sz="4" w:space="0"/>
            </w:tcBorders>
            <w:tcW w:w="212" w:type="pct"/>
            <w:vAlign w:val="center"/>
            <w:textDirection w:val="lrTb"/>
            <w:noWrap w:val="false"/>
          </w:tcPr>
          <w:p>
            <w:pPr>
              <w:ind w:left="0" w:firstLine="0"/>
              <w:jc w:val="both"/>
              <w:keepLines w:val="0"/>
              <w:keepNext w:val="0"/>
              <w:pageBreakBefore w:val="0"/>
              <w:spacing w:line="280" w:lineRule="exact"/>
              <w:rPr>
                <w:rFonts w:hint="default" w:eastAsia="宋体"/>
                <w:color w:val="000000"/>
                <w:sz w:val="21"/>
                <w:szCs w:val="21"/>
                <w:lang w:val="en-US" w:eastAsia="zh-CN"/>
              </w:rPr>
            </w:pPr>
            <w:r>
              <w:rPr>
                <w:rFonts w:hint="eastAsia"/>
                <w:color w:val="000000"/>
                <w:sz w:val="21"/>
                <w:szCs w:val="21"/>
                <w:lang w:val="en-US" w:eastAsia="zh-CN"/>
              </w:rPr>
              <w:t xml:space="preserve">7</w:t>
            </w:r>
            <w:r/>
          </w:p>
        </w:tc>
        <w:tc>
          <w:tcPr>
            <w:tcBorders>
              <w:left w:val="single" w:color="auto" w:sz="4" w:space="0"/>
              <w:right w:val="single" w:color="auto" w:sz="4" w:space="0"/>
            </w:tcBorders>
            <w:tcW w:w="594" w:type="pct"/>
            <w:vAlign w:val="center"/>
            <w:vMerge w:val="continue"/>
            <w:textDirection w:val="lrTb"/>
            <w:noWrap w:val="false"/>
          </w:tcPr>
          <w:p>
            <w:pPr>
              <w:jc w:val="center"/>
              <w:keepLines w:val="0"/>
              <w:keepNext w:val="0"/>
              <w:pageBreakBefore w:val="0"/>
              <w:spacing w:line="280" w:lineRule="exact"/>
              <w:rPr>
                <w:rFonts w:hint="eastAsia" w:ascii="宋体" w:hAnsi="宋体"/>
                <w:color w:val="000000"/>
                <w:sz w:val="21"/>
                <w:szCs w:val="21"/>
              </w:rPr>
            </w:pPr>
            <w:r>
              <w:rPr>
                <w:rFonts w:hint="eastAsia"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ind w:firstLine="6"/>
              <w:jc w:val="center"/>
              <w:keepLines w:val="0"/>
              <w:keepNext w:val="0"/>
              <w:pageBreakBefore w:val="0"/>
              <w:spacing w:line="280" w:lineRule="exact"/>
              <w:rPr>
                <w:rFonts w:hint="eastAsia"/>
                <w:color w:val="000000"/>
                <w:sz w:val="21"/>
                <w:szCs w:val="21"/>
                <w:highlight w:val="none"/>
              </w:rPr>
            </w:pPr>
            <w:r>
              <w:rPr>
                <w:rFonts w:hint="eastAsia" w:ascii="宋体" w:hAnsi="宋体" w:cs="宋体"/>
                <w:sz w:val="21"/>
                <w:szCs w:val="21"/>
                <w:highlight w:val="none"/>
              </w:rPr>
              <w:t xml:space="preserve">重难点及对应保证方案及措施（</w:t>
            </w:r>
            <w:r>
              <w:rPr>
                <w:rFonts w:hint="eastAsia" w:cs="宋体"/>
                <w:sz w:val="21"/>
                <w:szCs w:val="21"/>
                <w:highlight w:val="none"/>
                <w:lang w:val="en-US" w:eastAsia="zh-CN"/>
              </w:rPr>
              <w:t xml:space="preserve">7</w:t>
            </w:r>
            <w:r>
              <w:rPr>
                <w:rFonts w:hint="eastAsia" w:ascii="宋体" w:hAnsi="宋体" w:cs="宋体"/>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497" w:type="pct"/>
            <w:vAlign w:val="center"/>
            <w:textDirection w:val="lrTb"/>
            <w:noWrap w:val="false"/>
          </w:tcPr>
          <w:p>
            <w:pPr>
              <w:pStyle w:val="1130"/>
              <w:ind w:right="133"/>
              <w:keepLines w:val="0"/>
              <w:keepNext w:val="0"/>
              <w:pageBreakBefore w:val="0"/>
              <w:spacing w:before="172" w:line="280" w:lineRule="exact"/>
              <w:rPr>
                <w:rFonts w:hint="eastAsia" w:ascii="宋体" w:hAnsi="宋体" w:eastAsia="宋体" w:cs="宋体"/>
                <w:sz w:val="21"/>
                <w:szCs w:val="21"/>
              </w:rPr>
            </w:pPr>
            <w:r>
              <w:rPr>
                <w:rFonts w:hint="eastAsia" w:ascii="宋体" w:hAnsi="宋体" w:eastAsia="宋体" w:cs="宋体"/>
                <w:sz w:val="21"/>
                <w:szCs w:val="21"/>
              </w:rPr>
              <w:t xml:space="preserve">结合本工程特点，依据投标人提出的重难点分析、对应保证措施进行评审。具体、合理、切实可行的得</w:t>
            </w:r>
            <w:r>
              <w:rPr>
                <w:rFonts w:hint="eastAsia" w:cs="宋体"/>
                <w:sz w:val="21"/>
                <w:szCs w:val="21"/>
                <w:lang w:val="en-US" w:eastAsia="zh-CN"/>
              </w:rPr>
              <w:t xml:space="preserve">7</w:t>
            </w:r>
            <w:r>
              <w:rPr>
                <w:rFonts w:hint="eastAsia" w:ascii="宋体" w:hAnsi="宋体" w:eastAsia="宋体" w:cs="宋体"/>
                <w:sz w:val="21"/>
                <w:szCs w:val="21"/>
              </w:rPr>
              <w:t xml:space="preserve">分；内容基本完整、基本合理、基本可行的得</w:t>
            </w:r>
            <w:r>
              <w:rPr>
                <w:rFonts w:hint="eastAsia" w:cs="宋体"/>
                <w:sz w:val="21"/>
                <w:szCs w:val="21"/>
                <w:lang w:val="en-US" w:eastAsia="zh-CN"/>
              </w:rPr>
              <w:t xml:space="preserve">5</w:t>
            </w:r>
            <w:r>
              <w:rPr>
                <w:rFonts w:hint="eastAsia" w:ascii="宋体" w:hAnsi="宋体" w:eastAsia="宋体" w:cs="宋体"/>
                <w:sz w:val="21"/>
                <w:szCs w:val="21"/>
              </w:rPr>
              <w:t xml:space="preserve">分；内容差的得</w:t>
            </w:r>
            <w:r>
              <w:rPr>
                <w:rFonts w:hint="eastAsia" w:cs="宋体"/>
                <w:sz w:val="21"/>
                <w:szCs w:val="21"/>
                <w:lang w:val="en-US" w:eastAsia="zh-CN"/>
              </w:rPr>
              <w:t xml:space="preserve">2</w:t>
            </w:r>
            <w:r>
              <w:rPr>
                <w:rFonts w:hint="eastAsia" w:ascii="宋体" w:hAnsi="宋体" w:eastAsia="宋体" w:cs="宋体"/>
                <w:sz w:val="21"/>
                <w:szCs w:val="21"/>
              </w:rPr>
              <w:t xml:space="preserve">分</w:t>
            </w:r>
            <w:r>
              <w:rPr>
                <w:rFonts w:hint="eastAsia" w:cs="宋体"/>
                <w:sz w:val="21"/>
                <w:szCs w:val="21"/>
                <w:lang w:eastAsia="zh-CN"/>
              </w:rPr>
              <w:t xml:space="preserve">，</w:t>
            </w:r>
            <w:r>
              <w:rPr>
                <w:rFonts w:hint="eastAsia" w:ascii="宋体" w:hAnsi="宋体" w:eastAsia="宋体" w:cs="宋体"/>
                <w:sz w:val="21"/>
                <w:szCs w:val="21"/>
              </w:rPr>
              <w:t xml:space="preserve">未见阐述不得分。（建议页数 </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页）</w:t>
            </w:r>
            <w:r>
              <w:rPr>
                <w:rFonts w:hint="eastAsia" w:ascii="宋体" w:hAnsi="宋体" w:eastAsia="宋体" w:cs="宋体"/>
                <w:sz w:val="21"/>
                <w:szCs w:val="21"/>
                <w:lang w:val="en-US" w:eastAsia="zh-CN"/>
              </w:rPr>
              <w:t xml:space="preserve"> </w:t>
            </w:r>
            <w:r/>
          </w:p>
        </w:tc>
      </w:tr>
      <w:tr>
        <w:trPr>
          <w:jc w:val="center"/>
          <w:trHeight w:val="666"/>
        </w:trPr>
        <w:tc>
          <w:tcPr>
            <w:tcBorders>
              <w:left w:val="single" w:color="auto" w:sz="4" w:space="0"/>
              <w:right w:val="single" w:color="auto" w:sz="4" w:space="0"/>
            </w:tcBorders>
            <w:tcW w:w="212" w:type="pct"/>
            <w:vAlign w:val="center"/>
            <w:textDirection w:val="lrTb"/>
            <w:noWrap w:val="false"/>
          </w:tcPr>
          <w:p>
            <w:pPr>
              <w:ind w:left="0" w:firstLine="0"/>
              <w:jc w:val="both"/>
              <w:keepLines w:val="0"/>
              <w:keepNext w:val="0"/>
              <w:pageBreakBefore w:val="0"/>
              <w:spacing w:line="280" w:lineRule="exact"/>
              <w:rPr>
                <w:rFonts w:hint="eastAsia" w:eastAsia="宋体"/>
                <w:color w:val="000000"/>
                <w:sz w:val="21"/>
                <w:szCs w:val="21"/>
                <w:lang w:val="en-US" w:eastAsia="zh-CN"/>
              </w:rPr>
            </w:pPr>
            <w:r>
              <w:rPr>
                <w:rFonts w:hint="eastAsia"/>
                <w:color w:val="000000"/>
                <w:sz w:val="21"/>
                <w:szCs w:val="21"/>
                <w:lang w:val="en-US" w:eastAsia="zh-CN"/>
              </w:rPr>
              <w:t xml:space="preserve">8</w:t>
            </w:r>
            <w:r/>
          </w:p>
        </w:tc>
        <w:tc>
          <w:tcPr>
            <w:tcBorders>
              <w:left w:val="single" w:color="auto" w:sz="4" w:space="0"/>
              <w:right w:val="single" w:color="auto" w:sz="4" w:space="0"/>
            </w:tcBorders>
            <w:tcW w:w="594" w:type="pct"/>
            <w:vAlign w:val="center"/>
            <w:vMerge w:val="continue"/>
            <w:textDirection w:val="lrTb"/>
            <w:noWrap w:val="false"/>
          </w:tcPr>
          <w:p>
            <w:pPr>
              <w:jc w:val="center"/>
              <w:keepLines w:val="0"/>
              <w:keepNext w:val="0"/>
              <w:pageBreakBefore w:val="0"/>
              <w:spacing w:line="280" w:lineRule="exact"/>
              <w:rPr>
                <w:rFonts w:hint="eastAsia" w:ascii="宋体" w:hAnsi="宋体"/>
                <w:color w:val="000000"/>
                <w:sz w:val="21"/>
                <w:szCs w:val="21"/>
              </w:rPr>
            </w:pPr>
            <w:r>
              <w:rPr>
                <w:rFonts w:hint="eastAsia"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ind w:firstLine="6"/>
              <w:jc w:val="center"/>
              <w:keepLines w:val="0"/>
              <w:keepNext w:val="0"/>
              <w:pageBreakBefore w:val="0"/>
              <w:spacing w:line="280" w:lineRule="exact"/>
              <w:rPr>
                <w:rFonts w:hint="eastAsia"/>
                <w:color w:val="000000"/>
                <w:sz w:val="21"/>
                <w:szCs w:val="21"/>
                <w:highlight w:val="none"/>
              </w:rPr>
            </w:pPr>
            <w:r>
              <w:rPr>
                <w:rFonts w:hint="eastAsia" w:ascii="宋体" w:hAnsi="宋体" w:cs="宋体"/>
                <w:sz w:val="21"/>
                <w:szCs w:val="21"/>
                <w:highlight w:val="none"/>
              </w:rPr>
              <w:t xml:space="preserve">质量保证措施及承诺、技术服务措施及承诺（</w:t>
            </w:r>
            <w:r>
              <w:rPr>
                <w:rFonts w:hint="eastAsia" w:cs="宋体"/>
                <w:sz w:val="21"/>
                <w:szCs w:val="21"/>
                <w:highlight w:val="none"/>
                <w:lang w:val="en-US" w:eastAsia="zh-CN"/>
              </w:rPr>
              <w:t xml:space="preserve">7</w:t>
            </w:r>
            <w:r>
              <w:rPr>
                <w:rFonts w:hint="eastAsia" w:ascii="宋体" w:hAnsi="宋体" w:cs="宋体"/>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497" w:type="pct"/>
            <w:vAlign w:val="center"/>
            <w:textDirection w:val="lrTb"/>
            <w:noWrap w:val="false"/>
          </w:tcPr>
          <w:p>
            <w:pPr>
              <w:pStyle w:val="1130"/>
              <w:ind w:right="133"/>
              <w:keepLines w:val="0"/>
              <w:keepNext w:val="0"/>
              <w:pageBreakBefore w:val="0"/>
              <w:spacing w:before="172" w:line="280" w:lineRule="exact"/>
              <w:rPr>
                <w:rFonts w:hint="eastAsia" w:ascii="宋体" w:hAnsi="宋体" w:eastAsia="宋体" w:cs="宋体"/>
                <w:sz w:val="21"/>
                <w:szCs w:val="21"/>
              </w:rPr>
            </w:pPr>
            <w:r>
              <w:rPr>
                <w:rFonts w:hint="eastAsia" w:ascii="宋体" w:hAnsi="宋体" w:eastAsia="宋体" w:cs="宋体"/>
                <w:sz w:val="21"/>
                <w:szCs w:val="21"/>
              </w:rPr>
              <w:t xml:space="preserve">投标人质量保证措施及承诺、技术服务措施及承诺等情况。具体、合理、切实可行的得</w:t>
            </w:r>
            <w:r>
              <w:rPr>
                <w:rFonts w:hint="eastAsia" w:cs="宋体"/>
                <w:sz w:val="21"/>
                <w:szCs w:val="21"/>
                <w:lang w:val="en-US" w:eastAsia="zh-CN"/>
              </w:rPr>
              <w:t xml:space="preserve">7</w:t>
            </w:r>
            <w:r>
              <w:rPr>
                <w:rFonts w:hint="eastAsia" w:ascii="宋体" w:hAnsi="宋体" w:eastAsia="宋体" w:cs="宋体"/>
                <w:sz w:val="21"/>
                <w:szCs w:val="21"/>
              </w:rPr>
              <w:t xml:space="preserve">分；内容基本完整、基本合理、基本可行的得</w:t>
            </w:r>
            <w:r>
              <w:rPr>
                <w:rFonts w:hint="eastAsia" w:cs="宋体"/>
                <w:sz w:val="21"/>
                <w:szCs w:val="21"/>
                <w:lang w:val="en-US" w:eastAsia="zh-CN"/>
              </w:rPr>
              <w:t xml:space="preserve">5</w:t>
            </w:r>
            <w:r>
              <w:rPr>
                <w:rFonts w:hint="eastAsia" w:ascii="宋体" w:hAnsi="宋体" w:eastAsia="宋体" w:cs="宋体"/>
                <w:sz w:val="21"/>
                <w:szCs w:val="21"/>
              </w:rPr>
              <w:t xml:space="preserve">分；内容差的得</w:t>
            </w:r>
            <w:r>
              <w:rPr>
                <w:rFonts w:hint="eastAsia" w:cs="宋体"/>
                <w:sz w:val="21"/>
                <w:szCs w:val="21"/>
                <w:lang w:val="en-US" w:eastAsia="zh-CN"/>
              </w:rPr>
              <w:t xml:space="preserve">2</w:t>
            </w:r>
            <w:r>
              <w:rPr>
                <w:rFonts w:hint="eastAsia" w:ascii="宋体" w:hAnsi="宋体" w:eastAsia="宋体" w:cs="宋体"/>
                <w:sz w:val="21"/>
                <w:szCs w:val="21"/>
              </w:rPr>
              <w:t xml:space="preserve">分</w:t>
            </w:r>
            <w:r>
              <w:rPr>
                <w:rFonts w:hint="eastAsia" w:cs="宋体"/>
                <w:sz w:val="21"/>
                <w:szCs w:val="21"/>
                <w:lang w:eastAsia="zh-CN"/>
              </w:rPr>
              <w:t xml:space="preserve">，</w:t>
            </w:r>
            <w:r>
              <w:rPr>
                <w:rFonts w:hint="eastAsia" w:ascii="宋体" w:hAnsi="宋体" w:eastAsia="宋体" w:cs="宋体"/>
                <w:sz w:val="21"/>
                <w:szCs w:val="21"/>
              </w:rPr>
              <w:t xml:space="preserve">未见阐述不得分。（建议页数 </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页）</w:t>
            </w:r>
            <w:r>
              <w:rPr>
                <w:rFonts w:hint="eastAsia" w:ascii="宋体" w:hAnsi="宋体" w:eastAsia="宋体" w:cs="宋体"/>
                <w:sz w:val="21"/>
                <w:szCs w:val="21"/>
                <w:lang w:val="en-US" w:eastAsia="zh-CN"/>
              </w:rPr>
              <w:t xml:space="preserve"> </w:t>
            </w:r>
            <w:r/>
          </w:p>
        </w:tc>
      </w:tr>
      <w:tr>
        <w:trPr>
          <w:jc w:val="center"/>
          <w:trHeight w:val="344"/>
        </w:trPr>
        <w:tc>
          <w:tcPr>
            <w:tcBorders>
              <w:left w:val="single" w:color="auto" w:sz="4" w:space="0"/>
              <w:right w:val="single" w:color="auto" w:sz="4" w:space="0"/>
            </w:tcBorders>
            <w:tcW w:w="212" w:type="pct"/>
            <w:vAlign w:val="center"/>
            <w:textDirection w:val="lrTb"/>
            <w:noWrap w:val="false"/>
          </w:tcPr>
          <w:p>
            <w:pPr>
              <w:ind w:left="0" w:firstLine="0"/>
              <w:jc w:val="both"/>
              <w:keepLines w:val="0"/>
              <w:keepNext w:val="0"/>
              <w:pageBreakBefore w:val="0"/>
              <w:spacing w:line="280" w:lineRule="exact"/>
              <w:rPr>
                <w:rFonts w:hint="eastAsia" w:eastAsia="宋体"/>
                <w:color w:val="000000"/>
                <w:sz w:val="21"/>
                <w:szCs w:val="21"/>
                <w:lang w:val="en-US" w:eastAsia="zh-CN"/>
              </w:rPr>
            </w:pPr>
            <w:r>
              <w:rPr>
                <w:rFonts w:hint="eastAsia"/>
                <w:color w:val="000000"/>
                <w:sz w:val="21"/>
                <w:szCs w:val="21"/>
                <w:lang w:val="en-US" w:eastAsia="zh-CN"/>
              </w:rPr>
              <w:t xml:space="preserve">9</w:t>
            </w:r>
            <w:r/>
          </w:p>
        </w:tc>
        <w:tc>
          <w:tcPr>
            <w:tcBorders>
              <w:left w:val="single" w:color="auto" w:sz="4" w:space="0"/>
              <w:right w:val="single" w:color="auto" w:sz="4" w:space="0"/>
            </w:tcBorders>
            <w:tcW w:w="594" w:type="pct"/>
            <w:vAlign w:val="center"/>
            <w:vMerge w:val="continue"/>
            <w:textDirection w:val="lrTb"/>
            <w:noWrap w:val="false"/>
          </w:tcPr>
          <w:p>
            <w:pPr>
              <w:jc w:val="center"/>
              <w:keepLines w:val="0"/>
              <w:keepNext w:val="0"/>
              <w:pageBreakBefore w:val="0"/>
              <w:spacing w:line="280" w:lineRule="exact"/>
              <w:rPr>
                <w:rFonts w:hint="eastAsia" w:ascii="宋体" w:hAnsi="宋体"/>
                <w:color w:val="000000"/>
                <w:sz w:val="21"/>
                <w:szCs w:val="21"/>
              </w:rPr>
            </w:pPr>
            <w:r>
              <w:rPr>
                <w:rFonts w:hint="eastAsia"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ind w:firstLine="6"/>
              <w:jc w:val="center"/>
              <w:keepLines w:val="0"/>
              <w:keepNext w:val="0"/>
              <w:pageBreakBefore w:val="0"/>
              <w:spacing w:line="280" w:lineRule="exact"/>
              <w:rPr>
                <w:rFonts w:hint="eastAsia" w:ascii="宋体" w:hAnsi="宋体" w:cs="宋体"/>
                <w:sz w:val="21"/>
                <w:szCs w:val="21"/>
                <w:highlight w:val="none"/>
              </w:rPr>
            </w:pPr>
            <w:r>
              <w:rPr>
                <w:rFonts w:hint="eastAsia" w:ascii="宋体" w:hAnsi="宋体" w:cs="宋体"/>
                <w:sz w:val="21"/>
                <w:szCs w:val="21"/>
                <w:highlight w:val="none"/>
              </w:rPr>
              <w:t xml:space="preserve">安全文明施工</w:t>
            </w:r>
            <w:r/>
          </w:p>
          <w:p>
            <w:pPr>
              <w:ind w:firstLine="6"/>
              <w:jc w:val="center"/>
              <w:keepLines w:val="0"/>
              <w:keepNext w:val="0"/>
              <w:pageBreakBefore w:val="0"/>
              <w:spacing w:line="280" w:lineRule="exact"/>
              <w:rPr>
                <w:rFonts w:hint="eastAsia"/>
                <w:color w:val="000000"/>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7</w:t>
            </w:r>
            <w:r>
              <w:rPr>
                <w:rFonts w:hint="eastAsia" w:ascii="宋体" w:hAnsi="宋体" w:cs="宋体"/>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497" w:type="pct"/>
            <w:vAlign w:val="center"/>
            <w:textDirection w:val="lrTb"/>
            <w:noWrap w:val="false"/>
          </w:tcPr>
          <w:p>
            <w:pPr>
              <w:pStyle w:val="1130"/>
              <w:ind w:right="133"/>
              <w:keepLines w:val="0"/>
              <w:keepNext w:val="0"/>
              <w:pageBreakBefore w:val="0"/>
              <w:spacing w:before="172" w:line="280" w:lineRule="exact"/>
              <w:rPr>
                <w:rFonts w:hint="eastAsia" w:ascii="宋体" w:hAnsi="宋体" w:eastAsia="宋体" w:cs="宋体"/>
                <w:sz w:val="21"/>
                <w:szCs w:val="21"/>
              </w:rPr>
            </w:pPr>
            <w:r>
              <w:rPr>
                <w:rFonts w:hint="eastAsia" w:ascii="宋体" w:hAnsi="宋体" w:eastAsia="宋体" w:cs="宋体"/>
                <w:sz w:val="21"/>
                <w:szCs w:val="21"/>
              </w:rPr>
              <w:t xml:space="preserve">提供安全文明施工及环境保护措施。包含但不限于对该工程安全文明施工、施工现场扬尘污染防治措施及环境保护方面等。具体、合理、切实可行的得</w:t>
            </w:r>
            <w:r>
              <w:rPr>
                <w:rFonts w:hint="eastAsia" w:cs="宋体"/>
                <w:sz w:val="21"/>
                <w:szCs w:val="21"/>
                <w:lang w:val="en-US" w:eastAsia="zh-CN"/>
              </w:rPr>
              <w:t xml:space="preserve">7</w:t>
            </w:r>
            <w:r>
              <w:rPr>
                <w:rFonts w:hint="eastAsia" w:ascii="宋体" w:hAnsi="宋体" w:eastAsia="宋体" w:cs="宋体"/>
                <w:sz w:val="21"/>
                <w:szCs w:val="21"/>
              </w:rPr>
              <w:t xml:space="preserve">分；内容基本完整、基本合理、基本可行的得</w:t>
            </w:r>
            <w:r>
              <w:rPr>
                <w:rFonts w:hint="eastAsia" w:cs="宋体"/>
                <w:sz w:val="21"/>
                <w:szCs w:val="21"/>
                <w:lang w:val="en-US" w:eastAsia="zh-CN"/>
              </w:rPr>
              <w:t xml:space="preserve">5</w:t>
            </w:r>
            <w:r>
              <w:rPr>
                <w:rFonts w:hint="eastAsia" w:ascii="宋体" w:hAnsi="宋体" w:eastAsia="宋体" w:cs="宋体"/>
                <w:sz w:val="21"/>
                <w:szCs w:val="21"/>
              </w:rPr>
              <w:t xml:space="preserve">分；内容差的得</w:t>
            </w:r>
            <w:r>
              <w:rPr>
                <w:rFonts w:hint="eastAsia" w:cs="宋体"/>
                <w:sz w:val="21"/>
                <w:szCs w:val="21"/>
                <w:lang w:val="en-US" w:eastAsia="zh-CN"/>
              </w:rPr>
              <w:t xml:space="preserve">2</w:t>
            </w:r>
            <w:r>
              <w:rPr>
                <w:rFonts w:hint="eastAsia" w:ascii="宋体" w:hAnsi="宋体" w:eastAsia="宋体" w:cs="宋体"/>
                <w:sz w:val="21"/>
                <w:szCs w:val="21"/>
              </w:rPr>
              <w:t xml:space="preserve">分</w:t>
            </w:r>
            <w:r>
              <w:rPr>
                <w:rFonts w:hint="eastAsia" w:cs="宋体"/>
                <w:sz w:val="21"/>
                <w:szCs w:val="21"/>
                <w:lang w:eastAsia="zh-CN"/>
              </w:rPr>
              <w:t xml:space="preserve">，</w:t>
            </w:r>
            <w:r>
              <w:rPr>
                <w:rFonts w:hint="eastAsia" w:ascii="宋体" w:hAnsi="宋体" w:eastAsia="宋体" w:cs="宋体"/>
                <w:sz w:val="21"/>
                <w:szCs w:val="21"/>
              </w:rPr>
              <w:t xml:space="preserve">未见阐述不得分。（建议页数</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页）</w:t>
            </w:r>
            <w:r>
              <w:rPr>
                <w:rFonts w:hint="eastAsia" w:ascii="宋体" w:hAnsi="宋体" w:eastAsia="宋体" w:cs="宋体"/>
                <w:sz w:val="21"/>
                <w:szCs w:val="21"/>
                <w:lang w:val="en-US" w:eastAsia="zh-CN"/>
              </w:rPr>
              <w:t xml:space="preserve"> </w:t>
            </w:r>
            <w:r/>
          </w:p>
        </w:tc>
      </w:tr>
      <w:tr>
        <w:trPr>
          <w:jc w:val="center"/>
          <w:trHeight w:val="607"/>
        </w:trPr>
        <w:tc>
          <w:tcPr>
            <w:tcBorders>
              <w:top w:val="single" w:color="auto" w:sz="4" w:space="0"/>
              <w:left w:val="single" w:color="auto" w:sz="4" w:space="0"/>
              <w:bottom w:val="single" w:color="auto" w:sz="4" w:space="0"/>
              <w:right w:val="single" w:color="auto" w:sz="4" w:space="0"/>
            </w:tcBorders>
            <w:tcW w:w="212" w:type="pct"/>
            <w:vAlign w:val="center"/>
            <w:textDirection w:val="lrTb"/>
            <w:noWrap w:val="false"/>
          </w:tcPr>
          <w:p>
            <w:pPr>
              <w:ind w:left="0" w:firstLine="0"/>
              <w:jc w:val="center"/>
              <w:keepLines w:val="0"/>
              <w:keepNext w:val="0"/>
              <w:pageBreakBefore w:val="0"/>
              <w:spacing w:line="280" w:lineRule="exact"/>
              <w:rPr>
                <w:rFonts w:hint="default" w:eastAsia="宋体"/>
                <w:color w:val="000000"/>
                <w:sz w:val="21"/>
                <w:szCs w:val="21"/>
                <w:lang w:val="en-US" w:eastAsia="zh-CN"/>
              </w:rPr>
            </w:pPr>
            <w:r>
              <w:rPr>
                <w:rFonts w:hint="eastAsia"/>
                <w:color w:val="000000"/>
                <w:sz w:val="21"/>
                <w:szCs w:val="21"/>
                <w:lang w:val="en-US" w:eastAsia="zh-CN"/>
              </w:rPr>
              <w:t xml:space="preserve">10</w:t>
            </w:r>
            <w:r/>
          </w:p>
        </w:tc>
        <w:tc>
          <w:tcPr>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jc w:val="center"/>
              <w:keepLines w:val="0"/>
              <w:keepNext w:val="0"/>
              <w:pageBreakBefore w:val="0"/>
              <w:spacing w:line="280" w:lineRule="exact"/>
              <w:rPr>
                <w:rFonts w:hint="eastAsia"/>
                <w:color w:val="000000"/>
                <w:sz w:val="21"/>
                <w:szCs w:val="21"/>
              </w:rPr>
            </w:pPr>
            <w:r>
              <w:rPr>
                <w:rFonts w:hint="eastAsia"/>
                <w:color w:val="000000"/>
                <w:sz w:val="21"/>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pStyle w:val="1130"/>
              <w:ind w:left="0" w:firstLine="0"/>
              <w:jc w:val="center"/>
              <w:keepLines w:val="0"/>
              <w:keepNext w:val="0"/>
              <w:pageBreakBefore w:val="0"/>
              <w:spacing w:before="43" w:line="280" w:lineRule="exact"/>
              <w:rPr>
                <w:rFonts w:hint="eastAsia"/>
                <w:sz w:val="21"/>
                <w:szCs w:val="21"/>
                <w:highlight w:val="none"/>
              </w:rPr>
            </w:pPr>
            <w:r>
              <w:rPr>
                <w:rFonts w:hint="eastAsia"/>
                <w:sz w:val="21"/>
                <w:szCs w:val="21"/>
                <w:highlight w:val="none"/>
              </w:rPr>
              <w:t xml:space="preserve">产品培训计划</w:t>
            </w:r>
            <w:r/>
          </w:p>
          <w:p>
            <w:pPr>
              <w:pStyle w:val="1130"/>
              <w:ind w:left="0" w:firstLine="0"/>
              <w:jc w:val="center"/>
              <w:keepLines w:val="0"/>
              <w:keepNext w:val="0"/>
              <w:pageBreakBefore w:val="0"/>
              <w:spacing w:before="43" w:line="280" w:lineRule="exact"/>
              <w:rPr>
                <w:color w:val="000000"/>
                <w:sz w:val="21"/>
                <w:szCs w:val="21"/>
                <w:highlight w:val="none"/>
              </w:rPr>
            </w:pPr>
            <w:r>
              <w:rPr>
                <w:rFonts w:hint="eastAsia"/>
                <w:sz w:val="21"/>
                <w:szCs w:val="21"/>
                <w:highlight w:val="none"/>
              </w:rPr>
              <w:t xml:space="preserve">（</w:t>
            </w:r>
            <w:r>
              <w:rPr>
                <w:rFonts w:hint="eastAsia"/>
                <w:sz w:val="21"/>
                <w:szCs w:val="21"/>
                <w:highlight w:val="none"/>
                <w:lang w:val="en-US" w:eastAsia="zh-CN"/>
              </w:rPr>
              <w:t xml:space="preserve">7</w:t>
            </w:r>
            <w:r>
              <w:rPr>
                <w:rFonts w:hint="eastAsia"/>
                <w:sz w:val="21"/>
                <w:szCs w:val="21"/>
                <w:highlight w:val="none"/>
              </w:rPr>
              <w:t xml:space="preserve">）分</w:t>
            </w:r>
            <w:bookmarkStart w:id="183" w:name="_GoBack"/>
            <w:r/>
            <w:bookmarkEnd w:id="183"/>
            <w:r/>
            <w:r/>
          </w:p>
        </w:tc>
        <w:tc>
          <w:tcPr>
            <w:tcBorders>
              <w:top w:val="single" w:color="auto" w:sz="4" w:space="0"/>
              <w:left w:val="single" w:color="auto" w:sz="4" w:space="0"/>
              <w:bottom w:val="single" w:color="auto" w:sz="4" w:space="0"/>
              <w:right w:val="single" w:color="auto" w:sz="4" w:space="0"/>
            </w:tcBorders>
            <w:tcW w:w="3497" w:type="pct"/>
            <w:vAlign w:val="top"/>
            <w:textDirection w:val="lrTb"/>
            <w:noWrap w:val="false"/>
          </w:tcPr>
          <w:p>
            <w:pPr>
              <w:pStyle w:val="1130"/>
              <w:ind w:right="133"/>
              <w:keepLines w:val="0"/>
              <w:keepNext w:val="0"/>
              <w:pageBreakBefore w:val="0"/>
              <w:spacing w:before="172" w:line="280" w:lineRule="exact"/>
              <w:rPr>
                <w:rFonts w:hint="eastAsia" w:ascii="宋体" w:hAnsi="宋体" w:eastAsia="宋体" w:cs="宋体"/>
                <w:sz w:val="21"/>
                <w:szCs w:val="21"/>
              </w:rPr>
            </w:pPr>
            <w:r>
              <w:rPr>
                <w:rFonts w:hint="eastAsia" w:ascii="宋体" w:hAnsi="宋体" w:eastAsia="宋体" w:cs="宋体"/>
                <w:sz w:val="21"/>
                <w:szCs w:val="21"/>
              </w:rPr>
              <w:t xml:space="preserve">投标人提供详尽的产品培训计划、使用培训计划，从科学、合理、可行性方面进行评比，内容完整、具体、合理、切实可行得</w:t>
            </w:r>
            <w:r>
              <w:rPr>
                <w:rFonts w:hint="eastAsia" w:cs="宋体"/>
                <w:sz w:val="21"/>
                <w:szCs w:val="21"/>
                <w:lang w:val="en-US" w:eastAsia="zh-CN"/>
              </w:rPr>
              <w:t xml:space="preserve">7</w:t>
            </w:r>
            <w:r>
              <w:rPr>
                <w:rFonts w:hint="eastAsia" w:ascii="宋体" w:hAnsi="宋体" w:eastAsia="宋体" w:cs="宋体"/>
                <w:sz w:val="21"/>
                <w:szCs w:val="21"/>
              </w:rPr>
              <w:t xml:space="preserve">分，内容基本完整、一般可行得</w:t>
            </w:r>
            <w:r>
              <w:rPr>
                <w:rFonts w:hint="eastAsia" w:cs="宋体"/>
                <w:sz w:val="21"/>
                <w:szCs w:val="21"/>
                <w:lang w:val="en-US" w:eastAsia="zh-CN"/>
              </w:rPr>
              <w:t xml:space="preserve">5</w:t>
            </w:r>
            <w:r>
              <w:rPr>
                <w:rFonts w:hint="eastAsia" w:ascii="宋体" w:hAnsi="宋体" w:eastAsia="宋体" w:cs="宋体"/>
                <w:sz w:val="21"/>
                <w:szCs w:val="21"/>
              </w:rPr>
              <w:t xml:space="preserve">分，内容不完整、不切实可行得</w:t>
            </w:r>
            <w:r>
              <w:rPr>
                <w:rFonts w:hint="eastAsia" w:cs="宋体"/>
                <w:sz w:val="21"/>
                <w:szCs w:val="21"/>
                <w:lang w:val="en-US" w:eastAsia="zh-CN"/>
              </w:rPr>
              <w:t xml:space="preserve">2</w:t>
            </w:r>
            <w:r>
              <w:rPr>
                <w:rFonts w:hint="eastAsia" w:ascii="宋体" w:hAnsi="宋体" w:eastAsia="宋体" w:cs="宋体"/>
                <w:sz w:val="21"/>
                <w:szCs w:val="21"/>
              </w:rPr>
              <w:t xml:space="preserve">分，未见阐述不得分。（建议页数 </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页）</w:t>
            </w:r>
            <w:r>
              <w:rPr>
                <w:rFonts w:hint="eastAsia" w:ascii="宋体" w:hAnsi="宋体" w:eastAsia="宋体" w:cs="宋体"/>
                <w:sz w:val="21"/>
                <w:szCs w:val="21"/>
                <w:lang w:val="en-US" w:eastAsia="zh-CN"/>
              </w:rPr>
              <w:t xml:space="preserve"> </w:t>
            </w:r>
            <w:r/>
          </w:p>
        </w:tc>
      </w:tr>
      <w:tr>
        <w:trPr>
          <w:jc w:val="center"/>
          <w:trHeight w:val="340"/>
        </w:trPr>
        <w:tc>
          <w:tcPr>
            <w:tcBorders>
              <w:top w:val="single" w:color="auto" w:sz="4" w:space="0"/>
              <w:left w:val="single" w:color="auto" w:sz="4" w:space="0"/>
              <w:bottom w:val="single" w:color="auto" w:sz="4" w:space="0"/>
              <w:right w:val="single" w:color="auto" w:sz="4" w:space="0"/>
            </w:tcBorders>
            <w:tcW w:w="212" w:type="pct"/>
            <w:vAlign w:val="center"/>
            <w:textDirection w:val="lrTb"/>
            <w:noWrap w:val="false"/>
          </w:tcPr>
          <w:p>
            <w:pPr>
              <w:jc w:val="center"/>
              <w:keepLines w:val="0"/>
              <w:keepNext w:val="0"/>
              <w:pageBreakBefore w:val="0"/>
              <w:spacing w:line="280" w:lineRule="exact"/>
              <w:rPr>
                <w:rFonts w:hint="default" w:eastAsia="宋体"/>
                <w:color w:val="000000"/>
                <w:sz w:val="21"/>
                <w:szCs w:val="21"/>
                <w:lang w:val="en-US" w:eastAsia="zh-CN"/>
              </w:rPr>
            </w:pPr>
            <w:r>
              <w:rPr>
                <w:color w:val="000000"/>
                <w:sz w:val="21"/>
                <w:szCs w:val="21"/>
              </w:rPr>
              <w:t xml:space="preserve">2</w:t>
            </w:r>
            <w:r>
              <w:rPr>
                <w:rFonts w:hint="eastAsia"/>
                <w:color w:val="000000"/>
                <w:sz w:val="21"/>
                <w:szCs w:val="21"/>
                <w:lang w:val="en-US" w:eastAsia="zh-CN"/>
              </w:rPr>
              <w:t xml:space="preserve">11</w:t>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ind w:left="0" w:firstLine="0"/>
              <w:jc w:val="center"/>
              <w:keepLines w:val="0"/>
              <w:keepNext w:val="0"/>
              <w:pageBreakBefore w:val="0"/>
              <w:spacing w:line="280" w:lineRule="exact"/>
              <w:rPr>
                <w:sz w:val="21"/>
                <w:szCs w:val="21"/>
                <w:u w:val="none"/>
              </w:rPr>
            </w:pPr>
            <w:r>
              <w:rPr>
                <w:sz w:val="21"/>
                <w:szCs w:val="21"/>
              </w:rPr>
              <w:t xml:space="preserve">售后服务</w:t>
            </w:r>
            <w:r>
              <w:rPr>
                <w:sz w:val="21"/>
                <w:szCs w:val="21"/>
                <w:u w:val="none"/>
              </w:rPr>
              <w:t xml:space="preserve">评审</w:t>
            </w:r>
            <w:r/>
          </w:p>
          <w:p>
            <w:pPr>
              <w:ind w:left="0" w:firstLine="0"/>
              <w:jc w:val="center"/>
              <w:keepLines w:val="0"/>
              <w:keepNext w:val="0"/>
              <w:pageBreakBefore w:val="0"/>
              <w:spacing w:line="280" w:lineRule="exact"/>
              <w:rPr>
                <w:rFonts w:hint="eastAsia"/>
                <w:color w:val="000000"/>
                <w:sz w:val="21"/>
                <w:szCs w:val="21"/>
              </w:rPr>
            </w:pPr>
            <w:r>
              <w:rPr>
                <w:sz w:val="21"/>
                <w:szCs w:val="21"/>
                <w:u w:val="none"/>
              </w:rPr>
              <w:t xml:space="preserve">（</w:t>
            </w:r>
            <w:r>
              <w:rPr>
                <w:rFonts w:hint="eastAsia"/>
                <w:sz w:val="21"/>
                <w:szCs w:val="21"/>
                <w:u w:val="none"/>
                <w:lang w:val="en-US" w:eastAsia="zh-CN"/>
              </w:rPr>
              <w:t xml:space="preserve">7</w:t>
            </w:r>
            <w:r>
              <w:rPr>
                <w:sz w:val="21"/>
                <w:szCs w:val="21"/>
                <w:u w:val="none"/>
              </w:rPr>
              <w:t xml:space="preserve">）分</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ind w:left="0" w:firstLine="0"/>
              <w:jc w:val="center"/>
              <w:keepLines w:val="0"/>
              <w:keepNext w:val="0"/>
              <w:pageBreakBefore w:val="0"/>
              <w:spacing w:line="280" w:lineRule="exact"/>
              <w:rPr>
                <w:sz w:val="21"/>
                <w:szCs w:val="21"/>
              </w:rPr>
            </w:pPr>
            <w:r>
              <w:rPr>
                <w:sz w:val="21"/>
                <w:szCs w:val="21"/>
              </w:rPr>
              <w:t xml:space="preserve">售后响应能力</w:t>
            </w:r>
            <w:r/>
          </w:p>
          <w:p>
            <w:pPr>
              <w:ind w:left="0" w:firstLine="0"/>
              <w:jc w:val="center"/>
              <w:keepLines w:val="0"/>
              <w:keepNext w:val="0"/>
              <w:pageBreakBefore w:val="0"/>
              <w:spacing w:line="280" w:lineRule="exact"/>
              <w:rPr>
                <w:color w:val="000000"/>
                <w:sz w:val="21"/>
                <w:szCs w:val="21"/>
              </w:rPr>
            </w:pPr>
            <w:r>
              <w:rPr>
                <w:rFonts w:eastAsia="Calibri"/>
                <w:sz w:val="21"/>
                <w:szCs w:val="21"/>
              </w:rPr>
              <w:t xml:space="preserve">(</w:t>
            </w:r>
            <w:r>
              <w:rPr>
                <w:rFonts w:hint="eastAsia"/>
                <w:sz w:val="21"/>
                <w:szCs w:val="21"/>
                <w:lang w:val="en-US" w:eastAsia="zh-CN"/>
              </w:rPr>
              <w:t xml:space="preserve">7</w:t>
            </w:r>
            <w:r>
              <w:rPr>
                <w:rFonts w:eastAsia="Calibri"/>
                <w:sz w:val="21"/>
                <w:szCs w:val="21"/>
              </w:rPr>
              <w:t xml:space="preserve">)</w:t>
            </w:r>
            <w:r>
              <w:rPr>
                <w:sz w:val="21"/>
                <w:szCs w:val="21"/>
              </w:rPr>
              <w:t xml:space="preserve">分</w:t>
            </w:r>
            <w:r/>
          </w:p>
        </w:tc>
        <w:tc>
          <w:tcPr>
            <w:tcBorders>
              <w:top w:val="single" w:color="auto" w:sz="4" w:space="0"/>
              <w:left w:val="single" w:color="auto" w:sz="4" w:space="0"/>
              <w:bottom w:val="single" w:color="auto" w:sz="4" w:space="0"/>
              <w:right w:val="single" w:color="auto" w:sz="4" w:space="0"/>
            </w:tcBorders>
            <w:tcW w:w="3497" w:type="pct"/>
            <w:vAlign w:val="center"/>
            <w:textDirection w:val="lrTb"/>
            <w:noWrap w:val="false"/>
          </w:tcPr>
          <w:p>
            <w:pPr>
              <w:pStyle w:val="1130"/>
              <w:ind w:right="133"/>
              <w:keepLines w:val="0"/>
              <w:keepNext w:val="0"/>
              <w:pageBreakBefore w:val="0"/>
              <w:spacing w:before="172" w:line="280" w:lineRule="exact"/>
              <w:rPr>
                <w:rFonts w:hint="eastAsia" w:ascii="宋体" w:hAnsi="宋体" w:eastAsia="宋体" w:cs="宋体"/>
                <w:sz w:val="21"/>
                <w:szCs w:val="21"/>
              </w:rPr>
            </w:pPr>
            <w:r>
              <w:rPr>
                <w:rFonts w:hint="eastAsia" w:ascii="宋体" w:hAnsi="宋体" w:eastAsia="宋体" w:cs="宋体"/>
                <w:sz w:val="21"/>
                <w:szCs w:val="21"/>
              </w:rPr>
              <w:t xml:space="preserve">提供完备的售后服务方案及保障措施，评标委员会根据</w:t>
            </w:r>
            <w:r>
              <w:rPr>
                <w:rFonts w:hint="eastAsia" w:ascii="宋体" w:hAnsi="宋体" w:eastAsia="宋体" w:cs="宋体"/>
                <w:sz w:val="21"/>
                <w:szCs w:val="21"/>
                <w:lang w:val="en-US" w:eastAsia="zh-CN"/>
              </w:rPr>
              <w:t xml:space="preserve">售后服务内容、售后服务响应时间及方式、质保内容</w:t>
            </w:r>
            <w:r>
              <w:rPr>
                <w:rFonts w:hint="eastAsia" w:cs="宋体"/>
                <w:sz w:val="21"/>
                <w:szCs w:val="21"/>
                <w:lang w:val="en-US" w:eastAsia="zh-CN"/>
              </w:rPr>
              <w:t xml:space="preserve">及质保期承诺</w:t>
            </w:r>
            <w:r>
              <w:rPr>
                <w:rFonts w:hint="eastAsia" w:ascii="宋体" w:hAnsi="宋体" w:eastAsia="宋体" w:cs="宋体"/>
                <w:sz w:val="21"/>
                <w:szCs w:val="21"/>
              </w:rPr>
              <w:t xml:space="preserve">等方面进行评审。方案科学合理、切实可行的得 </w:t>
            </w:r>
            <w:r>
              <w:rPr>
                <w:rFonts w:hint="eastAsia" w:cs="宋体"/>
                <w:sz w:val="21"/>
                <w:szCs w:val="21"/>
                <w:lang w:val="en-US" w:eastAsia="zh-CN"/>
              </w:rPr>
              <w:t xml:space="preserve">7</w:t>
            </w:r>
            <w:r>
              <w:rPr>
                <w:rFonts w:hint="eastAsia" w:ascii="宋体" w:hAnsi="宋体" w:eastAsia="宋体" w:cs="宋体"/>
                <w:sz w:val="21"/>
                <w:szCs w:val="21"/>
              </w:rPr>
              <w:t xml:space="preserve">分；方案较合理、可行性一般的得</w:t>
            </w:r>
            <w:r>
              <w:rPr>
                <w:rFonts w:hint="eastAsia" w:cs="宋体"/>
                <w:sz w:val="21"/>
                <w:szCs w:val="21"/>
                <w:lang w:val="en-US" w:eastAsia="zh-CN"/>
              </w:rPr>
              <w:t xml:space="preserve">5</w:t>
            </w:r>
            <w:r>
              <w:rPr>
                <w:rFonts w:hint="eastAsia" w:ascii="宋体" w:hAnsi="宋体" w:eastAsia="宋体" w:cs="宋体"/>
                <w:sz w:val="21"/>
                <w:szCs w:val="21"/>
              </w:rPr>
              <w:t xml:space="preserve">分；内容不完整、不切实可行得</w:t>
            </w:r>
            <w:r>
              <w:rPr>
                <w:rFonts w:hint="eastAsia" w:cs="宋体"/>
                <w:sz w:val="21"/>
                <w:szCs w:val="21"/>
                <w:lang w:val="en-US" w:eastAsia="zh-CN"/>
              </w:rPr>
              <w:t xml:space="preserve">2</w:t>
            </w:r>
            <w:r>
              <w:rPr>
                <w:rFonts w:hint="eastAsia" w:ascii="宋体" w:hAnsi="宋体" w:eastAsia="宋体" w:cs="宋体"/>
                <w:sz w:val="21"/>
                <w:szCs w:val="21"/>
              </w:rPr>
              <w:t xml:space="preserve">分</w:t>
            </w:r>
            <w:r>
              <w:rPr>
                <w:rFonts w:hint="eastAsia" w:cs="宋体"/>
                <w:sz w:val="21"/>
                <w:szCs w:val="21"/>
                <w:lang w:eastAsia="zh-CN"/>
              </w:rPr>
              <w:t xml:space="preserve">，</w:t>
            </w:r>
            <w:r>
              <w:rPr>
                <w:rFonts w:hint="eastAsia" w:ascii="宋体" w:hAnsi="宋体" w:eastAsia="宋体" w:cs="宋体"/>
                <w:sz w:val="21"/>
                <w:szCs w:val="21"/>
              </w:rPr>
              <w:t xml:space="preserve">未见阐述不得分。（建议页数</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页）</w:t>
            </w:r>
            <w:r>
              <w:rPr>
                <w:rFonts w:hint="eastAsia" w:ascii="宋体" w:hAnsi="宋体" w:eastAsia="宋体" w:cs="宋体"/>
                <w:sz w:val="21"/>
                <w:szCs w:val="21"/>
                <w:lang w:val="en-US" w:eastAsia="zh-CN"/>
              </w:rPr>
              <w:t xml:space="preserve"> </w:t>
            </w:r>
            <w:r/>
          </w:p>
        </w:tc>
      </w:tr>
    </w:tbl>
    <w:p>
      <w:pPr>
        <w:pStyle w:val="946"/>
        <w:keepLines w:val="0"/>
        <w:keepNext w:val="0"/>
        <w:pageBreakBefore w:val="0"/>
        <w:spacing w:line="360" w:lineRule="exact"/>
        <w:rPr>
          <w:rFonts w:hint="eastAsia"/>
          <w:color w:val="auto"/>
          <w:sz w:val="21"/>
          <w:szCs w:val="21"/>
        </w:rPr>
      </w:pPr>
      <w:r>
        <w:rPr>
          <w:rFonts w:hint="eastAsia"/>
          <w:color w:val="auto"/>
          <w:sz w:val="21"/>
          <w:szCs w:val="21"/>
        </w:rPr>
      </w:r>
      <w:r/>
    </w:p>
    <w:p>
      <w:pPr>
        <w:numPr>
          <w:ilvl w:val="0"/>
          <w:numId w:val="2"/>
        </w:numPr>
        <w:ind w:firstLine="360"/>
        <w:keepLines w:val="0"/>
        <w:keepNext w:val="0"/>
        <w:pageBreakBefore w:val="0"/>
        <w:spacing w:after="0" w:line="360" w:lineRule="exact"/>
        <w:widowControl/>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异常低价审查</w:t>
      </w:r>
      <w:r/>
    </w:p>
    <w:p>
      <w:pPr>
        <w:ind w:firstLine="360"/>
        <w:keepLines w:val="0"/>
        <w:keepNext w:val="0"/>
        <w:pageBreakBefore w:val="0"/>
        <w:spacing w:after="0" w:line="36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（一）评审过程中出现下列情形之一的，评审委员会应当启动异常低价投标（响应）审查程序：</w:t>
      </w:r>
      <w:r/>
    </w:p>
    <w:p>
      <w:pPr>
        <w:ind w:firstLine="360"/>
        <w:keepLines w:val="0"/>
        <w:keepNext w:val="0"/>
        <w:pageBreakBefore w:val="0"/>
        <w:spacing w:after="0" w:line="36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1.投标（响应）报价低于采购项目预算50%的，即投标（响应）报价&lt;采购项目预算×50%；</w:t>
      </w:r>
      <w:r/>
    </w:p>
    <w:p>
      <w:pPr>
        <w:ind w:firstLine="360"/>
        <w:keepLines w:val="0"/>
        <w:keepNext w:val="0"/>
        <w:pageBreakBefore w:val="0"/>
        <w:spacing w:after="0" w:line="36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2.投标（响应）报价低于采购项目最高限价45%的，即投标（响应）报价&lt;采购项目最高限价×45%；</w:t>
      </w:r>
      <w:r/>
    </w:p>
    <w:p>
      <w:pPr>
        <w:ind w:firstLine="360"/>
        <w:keepLines w:val="0"/>
        <w:keepNext w:val="0"/>
        <w:pageBreakBefore w:val="0"/>
        <w:spacing w:after="0" w:line="36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rPr>
          <w:rFonts w:hint="eastAsia"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评审委员会认定的供应商报价过低、有可能影响产品质量或者不能诚信履约的其他情形。</w:t>
      </w:r>
      <w:r/>
    </w:p>
    <w:p>
      <w:pPr>
        <w:ind w:firstLine="360"/>
        <w:keepLines w:val="0"/>
        <w:keepNext w:val="0"/>
        <w:pageBreakBefore w:val="0"/>
        <w:spacing w:after="0"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1"/>
          <w:szCs w:val="21"/>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 的价格、该行业当地薪资水平等情况，依据专业经验对供应商报价合理性进行判断。投标 响应）供应商不提供书面说明、证明材料，或者提供的书面说明、证明材料不能证明其报价合理性的，评审委员会应当将其作为无效投标（响应）处理。审查相关情况 应当在评审报告中进行记录。</w:t>
      </w:r>
      <w:r/>
    </w:p>
    <w:p>
      <w:pPr>
        <w:ind w:firstLine="0"/>
        <w:jc w:val="left"/>
        <w:rPr>
          <w:rFonts w:hint="eastAsia" w:cs="宋体"/>
          <w:color w:val="auto"/>
          <w:sz w:val="24"/>
          <w:szCs w:val="24"/>
          <w:highlight w:val="none"/>
          <w:lang w:val="en-US" w:eastAsia="zh-CN"/>
        </w:rPr>
      </w:pPr>
      <w:r>
        <w:rPr>
          <w:rFonts w:hint="eastAsia" w:cs="宋体"/>
          <w:color w:val="auto"/>
          <w:sz w:val="24"/>
          <w:szCs w:val="24"/>
          <w:highlight w:val="none"/>
          <w:lang w:val="en-US" w:eastAsia="zh-CN"/>
        </w:rPr>
      </w:r>
      <w:r/>
    </w:p>
    <w:p>
      <w:pPr>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44"/>
          <w:szCs w:val="44"/>
          <w:highlight w:val="none"/>
        </w:rPr>
        <w:br w:type="page" w:clear="all"/>
      </w:r>
      <w:r>
        <w:rPr>
          <w:rFonts w:hint="eastAsia"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第六章  投标文件格式</w:t>
      </w:r>
      <w:r/>
    </w:p>
    <w:p>
      <w:pPr>
        <w:ind w:firstLine="0"/>
        <w:jc w:val="center"/>
        <w:spacing w:line="240" w:lineRule="auto"/>
        <w:rPr>
          <w:rFonts w:hint="eastAsia" w:ascii="宋体" w:hAnsi="宋体" w:eastAsia="宋体" w:cs="宋体"/>
          <w:b/>
          <w:color w:val="auto"/>
          <w:sz w:val="72"/>
          <w:szCs w:val="72"/>
          <w:highlight w:val="none"/>
        </w:rPr>
      </w:pPr>
      <w:r/>
      <w:bookmarkStart w:id="162" w:name="_Hlt26955039"/>
      <w:r/>
      <w:bookmarkEnd w:id="162"/>
      <w:r/>
      <w:bookmarkStart w:id="163" w:name="_Toc26554094"/>
      <w:r/>
      <w:bookmarkEnd w:id="163"/>
      <w:r/>
      <w:bookmarkStart w:id="164" w:name="_Hlt26671244"/>
      <w:r/>
      <w:bookmarkEnd w:id="164"/>
      <w:r/>
      <w:r/>
    </w:p>
    <w:p>
      <w:pPr>
        <w:ind w:firstLine="0"/>
        <w:jc w:val="center"/>
        <w:spacing w:line="24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ind w:firstLine="0"/>
        <w:jc w:val="center"/>
        <w:spacing w:line="24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72"/>
          <w:szCs w:val="72"/>
          <w:highlight w:val="none"/>
        </w:rPr>
        <w:t xml:space="preserve">投 标 文 件</w:t>
      </w:r>
      <w:r/>
    </w:p>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0"/>
        <w:jc w:val="both"/>
        <w:spacing w:line="24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0"/>
        <w:jc w:val="both"/>
        <w:spacing w:line="24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723"/>
        <w:jc w:val="center"/>
        <w:rPr>
          <w:rFonts w:hint="eastAsia" w:ascii="宋体" w:hAnsi="宋体" w:eastAsia="宋体" w:cs="宋体"/>
          <w:color w:val="auto"/>
          <w:sz w:val="24"/>
          <w:szCs w:val="24"/>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ind w:firstLine="723"/>
        <w:jc w:val="center"/>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ind w:left="0" w:firstLine="900"/>
        <w:jc w:val="both"/>
        <w:rPr>
          <w:rFonts w:hint="eastAsia" w:ascii="宋体" w:hAnsi="宋体" w:eastAsia="宋体" w:cs="宋体"/>
          <w:b/>
          <w:bCs/>
          <w:color w:val="auto"/>
          <w:sz w:val="36"/>
          <w:szCs w:val="36"/>
          <w:highlight w:val="none"/>
          <w:u w:val="single"/>
        </w:rPr>
      </w:pPr>
      <w:r>
        <w:rPr>
          <w:rFonts w:hint="eastAsia" w:ascii="宋体" w:hAnsi="宋体" w:eastAsia="宋体" w:cs="宋体"/>
          <w:b/>
          <w:color w:val="auto"/>
          <w:sz w:val="36"/>
          <w:szCs w:val="36"/>
          <w:highlight w:val="none"/>
        </w:rPr>
        <w:t xml:space="preserve">投标人名称：</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ind w:firstLine="723"/>
        <w:jc w:val="left"/>
        <w:rPr>
          <w:rFonts w:hint="eastAsia" w:ascii="宋体" w:hAnsi="宋体" w:eastAsia="宋体" w:cs="宋体"/>
          <w:b/>
          <w:bCs/>
          <w:color w:val="auto"/>
          <w:sz w:val="36"/>
          <w:szCs w:val="36"/>
          <w:highlight w:val="none"/>
          <w:u w:val="single"/>
        </w:rPr>
      </w:pPr>
      <w:r>
        <w:rPr>
          <w:rFonts w:hint="eastAsia" w:ascii="宋体" w:hAnsi="宋体" w:eastAsia="宋体" w:cs="宋体"/>
          <w:b/>
          <w:color w:val="auto"/>
          <w:sz w:val="36"/>
          <w:szCs w:val="36"/>
          <w:highlight w:val="none"/>
          <w:u w:val="none"/>
        </w:rPr>
        <w:t xml:space="preserve"> </w:t>
      </w:r>
      <w:r>
        <w:rPr>
          <w:rFonts w:hint="eastAsia" w:ascii="宋体" w:hAnsi="宋体" w:eastAsia="宋体" w:cs="宋体"/>
          <w:b/>
          <w:color w:val="auto"/>
          <w:sz w:val="36"/>
          <w:szCs w:val="36"/>
          <w:highlight w:val="none"/>
        </w:rPr>
        <w:t xml:space="preserve">日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 期：</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ind w:firstLine="723"/>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ind w:firstLine="723"/>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ind w:firstLine="723"/>
        <w:jc w:val="left"/>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ind w:firstLine="560"/>
        <w:jc w:val="center"/>
        <w:spacing w:line="520" w:lineRule="exact"/>
        <w:rPr>
          <w:rFonts w:hint="eastAsia" w:ascii="宋体" w:hAnsi="宋体" w:eastAsia="宋体" w:cs="宋体"/>
          <w:b/>
          <w:bCs/>
          <w:color w:val="auto"/>
          <w:sz w:val="28"/>
          <w:szCs w:val="22"/>
          <w:highlight w:val="none"/>
        </w:rPr>
      </w:pPr>
      <w:r>
        <w:rPr>
          <w:rFonts w:hint="eastAsia" w:ascii="宋体" w:hAnsi="宋体" w:eastAsia="宋体" w:cs="宋体"/>
          <w:b/>
          <w:bCs/>
          <w:color w:val="auto"/>
          <w:sz w:val="28"/>
          <w:szCs w:val="22"/>
          <w:highlight w:val="none"/>
        </w:rPr>
        <w:br w:type="page" w:clear="all"/>
      </w:r>
      <w:r>
        <w:rPr>
          <w:rFonts w:hint="eastAsia" w:ascii="宋体" w:hAnsi="宋体" w:eastAsia="宋体" w:cs="宋体"/>
          <w:b/>
          <w:bCs/>
          <w:color w:val="auto"/>
          <w:sz w:val="28"/>
          <w:szCs w:val="22"/>
          <w:highlight w:val="none"/>
        </w:rPr>
        <w:t xml:space="preserve">投标文件目录</w:t>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一、法人或者其他组织的营业执照等证明文件，自然人的身份证明</w:t>
      </w:r>
      <w:r/>
    </w:p>
    <w:p>
      <w:pPr>
        <w:ind w:firstLine="480"/>
        <w:spacing w:line="480" w:lineRule="exact"/>
        <w:tabs>
          <w:tab w:val="left" w:pos="1331" w:leader="none"/>
        </w:tabs>
        <w:rPr>
          <w:rFonts w:hint="eastAsia" w:ascii="宋体" w:hAnsi="宋体" w:eastAsia="宋体" w:cs="宋体"/>
          <w:i/>
          <w:color w:val="auto"/>
          <w:sz w:val="24"/>
          <w:highlight w:val="none"/>
          <w:u w:val="single"/>
        </w:rPr>
      </w:pPr>
      <w:r>
        <w:rPr>
          <w:rFonts w:hint="eastAsia" w:ascii="宋体" w:hAnsi="宋体" w:eastAsia="宋体" w:cs="宋体"/>
          <w:i/>
          <w:color w:val="auto"/>
          <w:sz w:val="24"/>
          <w:szCs w:val="24"/>
          <w:highlight w:val="none"/>
          <w:u w:val="single"/>
        </w:rPr>
        <w:t xml:space="preserve">二、上一年度的财务状况报表（至少提供资产负债表、利润表、现金流量表，</w:t>
      </w:r>
      <w:r/>
    </w:p>
    <w:p>
      <w:pPr>
        <w:pStyle w:val="111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投标人成立不满一年无需提供）</w:t>
      </w:r>
      <w:r/>
    </w:p>
    <w:p>
      <w:pPr>
        <w:pStyle w:val="1118"/>
        <w:ind w:firstLine="480"/>
        <w:jc w:val="both"/>
        <w:spacing w:beforeAutospacing="0" w:afterAutospacing="0" w:line="480" w:lineRule="exact"/>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三、具备履行合同所必需的设备和专业技术能力的书面声明</w:t>
      </w:r>
      <w:r/>
    </w:p>
    <w:p>
      <w:pPr>
        <w:pStyle w:val="1118"/>
        <w:ind w:firstLine="480"/>
        <w:jc w:val="both"/>
        <w:spacing w:beforeAutospacing="0" w:afterAutospacing="0" w:line="480" w:lineRule="exact"/>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11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五、参加政府采购活动前 3 年内在经营活动中没有重大违法记录的书面声明</w:t>
      </w:r>
      <w:r/>
    </w:p>
    <w:p>
      <w:pPr>
        <w:pStyle w:val="111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六、特定资格要求的证明文件（如果本项目设置特定资格要求，则需要提供）</w:t>
      </w:r>
      <w:r/>
    </w:p>
    <w:p>
      <w:pPr>
        <w:pStyle w:val="111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七、法人授权书</w:t>
      </w:r>
      <w:r/>
    </w:p>
    <w:p>
      <w:pPr>
        <w:pStyle w:val="111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八、投标函</w:t>
      </w:r>
      <w:r/>
    </w:p>
    <w:p>
      <w:pPr>
        <w:pStyle w:val="111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九、</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111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十、残疾人福利性单位声明函</w:t>
      </w:r>
      <w:r/>
    </w:p>
    <w:p>
      <w:pPr>
        <w:pStyle w:val="1118"/>
        <w:ind w:firstLine="480"/>
        <w:jc w:val="both"/>
        <w:spacing w:beforeAutospacing="0" w:afterAutospacing="0" w:line="480" w:lineRule="exact"/>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十一、投标分项报价表</w:t>
      </w:r>
      <w:r/>
    </w:p>
    <w:p>
      <w:pPr>
        <w:pStyle w:val="1118"/>
        <w:ind w:firstLine="480"/>
        <w:jc w:val="both"/>
        <w:spacing w:beforeAutospacing="0" w:afterAutospacing="0" w:line="480" w:lineRule="exact"/>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十</w:t>
      </w:r>
      <w:r>
        <w:rPr>
          <w:rFonts w:hint="eastAsia" w:ascii="宋体" w:hAnsi="宋体" w:eastAsia="宋体" w:cs="宋体"/>
          <w:i/>
          <w:iCs/>
          <w:color w:val="auto"/>
          <w:highlight w:val="none"/>
          <w:u w:val="single"/>
          <w:lang w:val="en-US" w:eastAsia="zh-CN"/>
        </w:rPr>
        <w:t xml:space="preserve">二</w:t>
      </w:r>
      <w:r>
        <w:rPr>
          <w:rFonts w:hint="eastAsia" w:ascii="宋体" w:hAnsi="宋体" w:eastAsia="宋体" w:cs="宋体"/>
          <w:i/>
          <w:iCs/>
          <w:color w:val="auto"/>
          <w:highlight w:val="none"/>
          <w:u w:val="single"/>
        </w:rPr>
        <w:t xml:space="preserve">、技术要求响应及偏离表</w:t>
      </w:r>
      <w:r/>
    </w:p>
    <w:p>
      <w:pPr>
        <w:pStyle w:val="111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、商务要求响应及偏离表</w:t>
      </w:r>
      <w:r/>
    </w:p>
    <w:p>
      <w:pPr>
        <w:pStyle w:val="1118"/>
        <w:ind w:firstLine="480"/>
        <w:jc w:val="both"/>
        <w:spacing w:beforeAutospacing="0" w:afterAutospacing="0" w:line="480" w:lineRule="exact"/>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十</w:t>
      </w:r>
      <w:r>
        <w:rPr>
          <w:rFonts w:hint="eastAsia" w:ascii="宋体" w:hAnsi="宋体" w:eastAsia="宋体" w:cs="宋体"/>
          <w:i/>
          <w:color w:val="auto"/>
          <w:highlight w:val="none"/>
          <w:u w:val="single"/>
          <w:lang w:val="en-US" w:eastAsia="zh-CN"/>
        </w:rPr>
        <w:t xml:space="preserve">四</w:t>
      </w:r>
      <w:r>
        <w:rPr>
          <w:rFonts w:hint="eastAsia" w:ascii="宋体" w:hAnsi="宋体" w:eastAsia="宋体" w:cs="宋体"/>
          <w:i/>
          <w:color w:val="auto"/>
          <w:highlight w:val="none"/>
          <w:u w:val="single"/>
        </w:rPr>
        <w:t xml:space="preserve">、开标一览表</w:t>
      </w:r>
      <w:r/>
    </w:p>
    <w:p>
      <w:pPr>
        <w:ind w:firstLine="48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、技术方案、服务承诺、培训承诺等</w:t>
      </w:r>
      <w:r/>
    </w:p>
    <w:p>
      <w:pPr>
        <w:pStyle w:val="111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iCs/>
          <w:color w:val="auto"/>
          <w:highlight w:val="none"/>
          <w:u w:val="single"/>
        </w:rPr>
        <w:t xml:space="preserve">十</w:t>
      </w:r>
      <w:r>
        <w:rPr>
          <w:rFonts w:hint="eastAsia" w:ascii="宋体" w:hAnsi="宋体" w:eastAsia="宋体" w:cs="宋体"/>
          <w:i/>
          <w:iCs/>
          <w:color w:val="auto"/>
          <w:highlight w:val="none"/>
          <w:u w:val="single"/>
          <w:lang w:val="en-US" w:eastAsia="zh-CN"/>
        </w:rPr>
        <w:t xml:space="preserve">六</w:t>
      </w:r>
      <w:r>
        <w:rPr>
          <w:rFonts w:hint="eastAsia" w:ascii="宋体" w:hAnsi="宋体" w:eastAsia="宋体" w:cs="宋体"/>
          <w:i/>
          <w:iCs/>
          <w:color w:val="auto"/>
          <w:highlight w:val="none"/>
          <w:u w:val="single"/>
        </w:rPr>
        <w:t xml:space="preserve">、政府采购事前信用承诺书</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2"/>
        <w:rPr>
          <w:rFonts w:hint="eastAsia" w:ascii="宋体" w:hAnsi="宋体" w:eastAsia="宋体" w:cs="宋体"/>
          <w:bCs/>
          <w:color w:val="auto"/>
          <w:szCs w:val="24"/>
          <w:highlight w:val="none"/>
        </w:rPr>
      </w:pPr>
      <w:r>
        <w:rPr>
          <w:rFonts w:hint="eastAsia" w:ascii="宋体" w:hAnsi="宋体" w:eastAsia="宋体" w:cs="宋体"/>
          <w:b/>
          <w:color w:val="auto"/>
          <w:highlight w:val="none"/>
        </w:rPr>
        <w:br w:type="page" w:clear="all"/>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111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二、上一年度的财务状况报表</w:t>
      </w:r>
      <w:r/>
    </w:p>
    <w:p>
      <w:pPr>
        <w:pStyle w:val="111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投标人成立不满一年无需提供</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三、具备履行合同所必需的设备和专业技术能力的书面声明</w:t>
      </w:r>
      <w:r/>
    </w:p>
    <w:p>
      <w:pPr>
        <w:pStyle w:val="1118"/>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1118"/>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四、依法缴纳税收和社会保障资金的相关材料</w:t>
      </w:r>
      <w:r/>
    </w:p>
    <w:p>
      <w:pPr>
        <w:pStyle w:val="111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1118"/>
        <w:jc w:val="both"/>
        <w:spacing w:beforeAutospacing="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1118"/>
        <w:ind w:firstLine="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1118"/>
        <w:ind w:left="0"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六、特定资格要求的证明文件</w:t>
      </w:r>
      <w:r/>
    </w:p>
    <w:p>
      <w:pPr>
        <w:pStyle w:val="1118"/>
        <w:ind w:left="0"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1118"/>
        <w:jc w:val="center"/>
        <w:spacing w:beforeAutospacing="0" w:afterAutospacing="0"/>
        <w:rPr>
          <w:rFonts w:hint="eastAsia" w:ascii="宋体" w:hAnsi="宋体" w:eastAsia="宋体" w:cs="宋体"/>
          <w:i/>
          <w:color w:val="auto"/>
          <w:sz w:val="32"/>
          <w:szCs w:val="32"/>
          <w:highlight w:val="none"/>
          <w:u w:val="single"/>
        </w:rPr>
      </w:pPr>
      <w:r/>
      <w:bookmarkStart w:id="165" w:name="_Toc120614284"/>
      <w:r/>
      <w:r/>
    </w:p>
    <w:p>
      <w:pPr>
        <w:pStyle w:val="1118"/>
        <w:ind w:left="0" w:firstLine="0"/>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1118"/>
        <w:ind w:left="0" w:firstLine="0"/>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七、法人授权书</w:t>
      </w:r>
      <w:r/>
    </w:p>
    <w:p>
      <w:pPr>
        <w:pStyle w:val="1118"/>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w:t>
      </w:r>
      <w:r>
        <w:rPr>
          <w:rFonts w:hint="eastAsia" w:cs="宋体"/>
          <w:color w:val="auto"/>
          <w:highlight w:val="none"/>
          <w:u w:val="single"/>
          <w:lang w:val="en-US" w:eastAsia="zh-CN"/>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1118"/>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1118"/>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被授权人身份证号码：</w:t>
      </w:r>
      <w:r>
        <w:rPr>
          <w:rFonts w:hint="eastAsia" w:ascii="宋体" w:hAnsi="宋体" w:eastAsia="宋体" w:cs="宋体"/>
          <w:color w:val="auto"/>
          <w:highlight w:val="none"/>
          <w:u w:val="single"/>
        </w:rPr>
        <w:t xml:space="preserve">           </w:t>
      </w:r>
      <w:r/>
    </w:p>
    <w:p>
      <w:pPr>
        <w:pStyle w:val="1118"/>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被授权人联系电话：（手机）</w:t>
      </w:r>
      <w:r>
        <w:rPr>
          <w:rFonts w:hint="eastAsia" w:ascii="宋体" w:hAnsi="宋体" w:eastAsia="宋体" w:cs="宋体"/>
          <w:color w:val="auto"/>
          <w:highlight w:val="none"/>
          <w:u w:val="single"/>
        </w:rPr>
        <w:t xml:space="preserve">                </w:t>
      </w:r>
      <w:r/>
    </w:p>
    <w:p>
      <w:pPr>
        <w:pStyle w:val="1118"/>
        <w:ind w:firstLine="2613"/>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1118"/>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单位地址：</w:t>
      </w:r>
      <w:r>
        <w:rPr>
          <w:rFonts w:hint="eastAsia" w:ascii="宋体" w:hAnsi="宋体" w:eastAsia="宋体" w:cs="宋体"/>
          <w:color w:val="auto"/>
          <w:highlight w:val="none"/>
          <w:u w:val="single"/>
        </w:rPr>
        <w:t xml:space="preserve">              </w:t>
      </w:r>
      <w:r/>
    </w:p>
    <w:p>
      <w:pPr>
        <w:pStyle w:val="1118"/>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日期：</w:t>
      </w:r>
      <w:bookmarkStart w:id="166" w:name="_格式3__银行出具的资信证明"/>
      <w:r/>
      <w:bookmarkStart w:id="167" w:name="_Hlt26955070"/>
      <w:r/>
      <w:bookmarkStart w:id="168" w:name="_Hlt26671380"/>
      <w:r>
        <w:rPr>
          <w:rFonts w:hint="eastAsia" w:ascii="宋体" w:hAnsi="宋体" w:eastAsia="宋体" w:cs="宋体"/>
          <w:color w:val="auto"/>
          <w:highlight w:val="none"/>
          <w:u w:val="singl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0"/>
        <w:spacing w:line="240" w:lineRule="auto"/>
        <w:widowControl/>
        <w:rPr>
          <w:rFonts w:hint="eastAsia" w:ascii="宋体" w:hAnsi="宋体" w:eastAsia="宋体" w:cs="宋体"/>
          <w:b/>
          <w:color w:val="auto"/>
          <w:sz w:val="24"/>
          <w:highlight w:val="none"/>
        </w:rPr>
      </w:pPr>
      <w:r>
        <w:rPr>
          <w:rFonts w:hint="eastAsia" w:ascii="宋体" w:hAnsi="宋体" w:eastAsia="宋体" w:cs="宋体"/>
          <w:b/>
          <w:color w:val="auto"/>
          <w:highlight w:val="none"/>
        </w:rPr>
        <w:br w:type="page" w:clear="all"/>
      </w:r>
      <w:r/>
    </w:p>
    <w:p>
      <w:pPr>
        <w:pStyle w:val="1118"/>
        <w:ind w:firstLine="3390"/>
        <w:jc w:val="both"/>
        <w:keepLines/>
        <w:keepNext/>
        <w:spacing w:before="260" w:beforeAutospacing="0" w:after="260" w:afterAutospacing="0" w:line="415" w:lineRule="auto"/>
        <w:rPr>
          <w:rFonts w:hint="eastAsia" w:ascii="宋体" w:hAnsi="宋体" w:eastAsia="宋体" w:cs="宋体"/>
          <w:color w:val="auto"/>
          <w:highlight w:val="none"/>
        </w:rPr>
      </w:pPr>
      <w:r>
        <w:rPr>
          <w:rFonts w:hint="eastAsia" w:ascii="宋体" w:hAnsi="宋体" w:eastAsia="宋体" w:cs="宋体"/>
          <w:b/>
          <w:i/>
          <w:color w:val="auto"/>
          <w:sz w:val="32"/>
          <w:szCs w:val="32"/>
          <w:highlight w:val="none"/>
          <w:u w:val="single"/>
        </w:rPr>
        <w:t xml:space="preserve">八、投标函</w:t>
      </w:r>
      <w:r/>
    </w:p>
    <w:p>
      <w:pPr>
        <w:pStyle w:val="1118"/>
        <w:ind w:left="0" w:firstLine="0"/>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w:t>
      </w:r>
      <w:r>
        <w:rPr>
          <w:rFonts w:hint="eastAsia" w:cs="宋体"/>
          <w:color w:val="auto"/>
          <w:szCs w:val="24"/>
          <w:highlight w:val="none"/>
          <w:lang w:eastAsia="zh-CN"/>
        </w:rPr>
        <w:t xml:space="preserve">盐城市大丰区文化广电和旅游局</w:t>
      </w:r>
      <w:r/>
    </w:p>
    <w:p>
      <w:pPr>
        <w:pStyle w:val="1118"/>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cs="宋体"/>
          <w:color w:val="auto"/>
          <w:highlight w:val="none"/>
          <w:u w:val="single"/>
          <w:lang w:val="en-US" w:eastAsia="zh-CN"/>
        </w:rPr>
        <w:t xml:space="preserve">         </w:t>
      </w:r>
      <w:r>
        <w:rPr>
          <w:rFonts w:hint="eastAsia" w:ascii="宋体" w:hAnsi="宋体" w:eastAsia="宋体" w:cs="宋体"/>
          <w:color w:val="auto"/>
          <w:highlight w:val="none"/>
        </w:rPr>
        <w:t xml:space="preserve">号招标文件，正式授权下述签字人____________(姓名)代表我方______________（投标人的名称），全权处理本次项目投标的有关事宜。</w:t>
      </w:r>
      <w:r/>
    </w:p>
    <w:p>
      <w:pPr>
        <w:pStyle w:val="1118"/>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1118"/>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1118"/>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1118"/>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1118"/>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1118"/>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1118"/>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1118"/>
        <w:ind w:left="425"/>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1118"/>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1118"/>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1118"/>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1118"/>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1118"/>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1118"/>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1118"/>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期：________年____月____日</w:t>
      </w:r>
      <w:r/>
    </w:p>
    <w:p>
      <w:pPr>
        <w:pStyle w:val="111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ind w:firstLine="0"/>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18"/>
        <w:ind w:firstLine="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九、</w:t>
      </w:r>
      <w:r>
        <w:rPr>
          <w:rFonts w:hint="eastAsia" w:ascii="宋体" w:hAnsi="宋体" w:eastAsia="宋体" w:cs="宋体"/>
          <w:b/>
          <w:color w:val="auto"/>
          <w:sz w:val="32"/>
          <w:szCs w:val="32"/>
          <w:highlight w:val="none"/>
          <w:lang w:val="en-US" w:eastAsia="zh-CN"/>
        </w:rPr>
        <w:t xml:space="preserve">中小</w:t>
      </w:r>
      <w:r>
        <w:rPr>
          <w:rFonts w:hint="eastAsia" w:ascii="宋体" w:hAnsi="宋体" w:eastAsia="宋体" w:cs="宋体"/>
          <w:b/>
          <w:color w:val="auto"/>
          <w:sz w:val="32"/>
          <w:szCs w:val="32"/>
          <w:highlight w:val="none"/>
        </w:rPr>
        <w:t xml:space="preserve">企业声明函（货物）</w:t>
      </w:r>
      <w:r/>
    </w:p>
    <w:p>
      <w:pPr>
        <w:pStyle w:val="1118"/>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w:t>
      </w:r>
      <w:r>
        <w:rPr>
          <w:rFonts w:hint="eastAsia" w:cs="宋体"/>
          <w:color w:val="auto"/>
          <w:highlight w:val="none"/>
          <w:lang w:eastAsia="zh-CN"/>
        </w:rPr>
        <w:t xml:space="preserve">盐城市大丰区文化广电和旅游局</w:t>
      </w:r>
      <w:r>
        <w:rPr>
          <w:rFonts w:hint="eastAsia" w:ascii="宋体" w:hAnsi="宋体" w:eastAsia="宋体" w:cs="宋体"/>
          <w:color w:val="auto"/>
          <w:highlight w:val="none"/>
        </w:rPr>
        <w:t xml:space="preserve">采购编号为</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的采购活动，提供的货物全部由符合政策要求的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企业制造。根据《工业和信息化部、国家统计局、国家发展和改革委员会、财政部关于印发中小企业划型标准规定的通知》(工信部联企业[2011]300号)的规定，相关企业（含联合体中的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企业、签订分包意向协议的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企业）的具体情况如下：</w:t>
      </w:r>
      <w:r/>
    </w:p>
    <w:p>
      <w:pPr>
        <w:pStyle w:val="1118"/>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中型企业、</w:t>
      </w:r>
      <w:r>
        <w:rPr>
          <w:rFonts w:hint="eastAsia" w:ascii="宋体" w:hAnsi="宋体" w:eastAsia="宋体" w:cs="宋体"/>
          <w:color w:val="auto"/>
          <w:highlight w:val="none"/>
          <w:u w:val="single"/>
        </w:rPr>
        <w:t xml:space="preserve">小型企业、微型企业）；</w:t>
      </w:r>
      <w:r/>
    </w:p>
    <w:p>
      <w:pPr>
        <w:pStyle w:val="1118"/>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中型企业、</w:t>
      </w:r>
      <w:r>
        <w:rPr>
          <w:rFonts w:hint="eastAsia" w:ascii="宋体" w:hAnsi="宋体" w:eastAsia="宋体" w:cs="宋体"/>
          <w:color w:val="auto"/>
          <w:highlight w:val="none"/>
          <w:u w:val="single"/>
        </w:rPr>
        <w:t xml:space="preserve">小型企业、微型企业）；</w:t>
      </w:r>
      <w:r/>
    </w:p>
    <w:p>
      <w:pPr>
        <w:pStyle w:val="1118"/>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1118"/>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1118"/>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1118"/>
        <w:ind w:right="72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1118"/>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1118"/>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111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p>
    <w:p>
      <w:pPr>
        <w:pStyle w:val="1118"/>
        <w:ind w:firstLine="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十、残疾人福利性单位声明函</w:t>
      </w:r>
      <w:r/>
    </w:p>
    <w:p>
      <w:pPr>
        <w:pStyle w:val="111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项目采购活动提供本单位制造的货物，或者提供其他残疾人福利性单位制造的货物（不包括使用非残疾人福利性单位注册商标的货物）。</w:t>
      </w:r>
      <w:r/>
    </w:p>
    <w:p>
      <w:pPr>
        <w:pStyle w:val="111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111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1118"/>
        <w:ind w:firstLine="6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1118"/>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line="0" w:lineRule="atLeast"/>
        <w:rPr>
          <w:rFonts w:hint="eastAsia" w:ascii="宋体" w:hAnsi="宋体" w:eastAsia="宋体" w:cs="宋体"/>
          <w:color w:val="auto"/>
          <w:highlight w:val="none"/>
        </w:rPr>
        <w:sectPr>
          <w:headerReference w:type="default" r:id="rId12"/>
          <w:footerReference w:type="default" r:id="rId19"/>
          <w:footnotePr/>
          <w:endnotePr/>
          <w:type w:val="nextPage"/>
          <w:pgSz w:w="11906" w:h="16838" w:orient="portrait"/>
          <w:pgMar w:top="1417" w:right="1417" w:bottom="1417" w:left="1417" w:header="851" w:footer="907" w:gutter="0"/>
          <w:cols w:num="1" w:sep="0" w:space="0" w:equalWidth="1"/>
          <w:docGrid w:linePitch="360"/>
          <w:titlePg/>
        </w:sectPr>
      </w:pPr>
      <w:r>
        <w:rPr>
          <w:rFonts w:hint="eastAsia" w:ascii="宋体" w:hAnsi="宋体" w:eastAsia="宋体" w:cs="宋体"/>
          <w:color w:val="auto"/>
          <w:highlight w:val="none"/>
        </w:rPr>
      </w:r>
      <w:r/>
    </w:p>
    <w:p>
      <w:pPr>
        <w:pStyle w:val="111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ind w:left="0" w:firstLine="0"/>
        <w:jc w:val="center"/>
        <w:keepLines/>
        <w:keepNext/>
        <w:spacing w:before="260" w:beforeAutospacing="0" w:after="260" w:afterAutospacing="0" w:line="415" w:lineRule="auto"/>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t xml:space="preserve">十一、投标分项报价表</w:t>
      </w:r>
      <w:r/>
    </w:p>
    <w:p>
      <w:pPr>
        <w:pStyle w:val="1118"/>
        <w:numPr>
          <w:ilvl w:val="0"/>
          <w:numId w:val="0"/>
        </w:numPr>
        <w:jc w:val="both"/>
        <w:spacing w:beforeAutospacing="0" w:afterAutospacing="0" w:line="0" w:lineRule="atLeast"/>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 xml:space="preserve">项目编号：</w:t>
      </w:r>
      <w:r/>
    </w:p>
    <w:tbl>
      <w:tblPr>
        <w:tblStyle w:val="936"/>
        <w:tblW w:w="15315" w:type="dxa"/>
        <w:tblInd w:w="-3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2012"/>
        <w:gridCol w:w="3094"/>
        <w:gridCol w:w="961"/>
        <w:gridCol w:w="751"/>
        <w:gridCol w:w="1812"/>
        <w:gridCol w:w="1270"/>
        <w:gridCol w:w="1425"/>
        <w:gridCol w:w="1169"/>
        <w:gridCol w:w="1855"/>
      </w:tblGrid>
      <w:tr>
        <w:trPr>
          <w:trHeight w:val="475"/>
        </w:trPr>
        <w:tc>
          <w:tcPr>
            <w:tcW w:w="966" w:type="dxa"/>
            <w:vAlign w:val="center"/>
            <w:textDirection w:val="lrTb"/>
            <w:noWrap w:val="false"/>
          </w:tcPr>
          <w:p>
            <w:pPr>
              <w:ind w:left="0" w:firstLine="0"/>
              <w:jc w:val="center"/>
              <w:keepLines w:val="0"/>
              <w:keepNext w:val="0"/>
              <w:pageBreakBefore w:val="0"/>
              <w:spacing w:line="240" w:lineRule="exact"/>
              <w:rPr>
                <w:rFonts w:hint="eastAsia" w:ascii="宋体" w:hAnsi="宋体"/>
                <w:b/>
                <w:szCs w:val="21"/>
              </w:rPr>
            </w:pPr>
            <w:r>
              <w:rPr>
                <w:rFonts w:hint="eastAsia" w:ascii="宋体" w:hAnsi="宋体"/>
                <w:b/>
                <w:szCs w:val="21"/>
              </w:rPr>
              <w:t xml:space="preserve">序号</w:t>
            </w:r>
            <w:r/>
          </w:p>
        </w:tc>
        <w:tc>
          <w:tcPr>
            <w:tcW w:w="2012" w:type="dxa"/>
            <w:vAlign w:val="center"/>
            <w:textDirection w:val="lrTb"/>
            <w:noWrap w:val="false"/>
          </w:tcPr>
          <w:p>
            <w:pPr>
              <w:jc w:val="center"/>
              <w:keepLines w:val="0"/>
              <w:keepNext w:val="0"/>
              <w:pageBreakBefore w:val="0"/>
              <w:spacing w:line="240" w:lineRule="exact"/>
              <w:rPr>
                <w:rFonts w:hint="eastAsia" w:ascii="宋体" w:hAnsi="宋体"/>
                <w:b/>
                <w:szCs w:val="21"/>
              </w:rPr>
            </w:pPr>
            <w:r>
              <w:rPr>
                <w:rFonts w:hint="eastAsia" w:ascii="宋体" w:hAnsi="宋体"/>
                <w:b/>
                <w:szCs w:val="21"/>
              </w:rPr>
              <w:t xml:space="preserve">项目名称</w:t>
            </w:r>
            <w:r/>
          </w:p>
        </w:tc>
        <w:tc>
          <w:tcPr>
            <w:tcW w:w="3094" w:type="dxa"/>
            <w:vAlign w:val="center"/>
            <w:textDirection w:val="lrTb"/>
            <w:noWrap w:val="false"/>
          </w:tcPr>
          <w:p>
            <w:pPr>
              <w:jc w:val="center"/>
              <w:keepLines w:val="0"/>
              <w:keepNext w:val="0"/>
              <w:pageBreakBefore w:val="0"/>
              <w:spacing w:line="240" w:lineRule="exact"/>
              <w:rPr>
                <w:rFonts w:hint="eastAsia" w:ascii="宋体" w:hAnsi="宋体"/>
                <w:b/>
                <w:szCs w:val="21"/>
              </w:rPr>
            </w:pPr>
            <w:r>
              <w:rPr>
                <w:rFonts w:hint="eastAsia" w:ascii="宋体" w:hAnsi="宋体"/>
                <w:b/>
                <w:szCs w:val="21"/>
              </w:rPr>
              <w:t xml:space="preserve">项目特征描述</w:t>
            </w:r>
            <w:r/>
          </w:p>
        </w:tc>
        <w:tc>
          <w:tcPr>
            <w:tcW w:w="961" w:type="dxa"/>
            <w:vAlign w:val="center"/>
            <w:textDirection w:val="lrTb"/>
            <w:noWrap w:val="false"/>
          </w:tcPr>
          <w:p>
            <w:pPr>
              <w:ind w:left="0" w:firstLine="0"/>
              <w:jc w:val="center"/>
              <w:keepLines w:val="0"/>
              <w:keepNext w:val="0"/>
              <w:pageBreakBefore w:val="0"/>
              <w:spacing w:line="240" w:lineRule="exact"/>
              <w:rPr>
                <w:rFonts w:hint="eastAsia" w:ascii="宋体" w:hAnsi="宋体"/>
                <w:b/>
                <w:szCs w:val="21"/>
              </w:rPr>
            </w:pPr>
            <w:r>
              <w:rPr>
                <w:rFonts w:hint="eastAsia" w:ascii="宋体" w:hAnsi="宋体"/>
                <w:b/>
                <w:szCs w:val="21"/>
              </w:rPr>
              <w:t xml:space="preserve">单位</w:t>
            </w:r>
            <w:r/>
          </w:p>
        </w:tc>
        <w:tc>
          <w:tcPr>
            <w:tcW w:w="751" w:type="dxa"/>
            <w:vAlign w:val="center"/>
            <w:textDirection w:val="lrTb"/>
            <w:noWrap w:val="false"/>
          </w:tcPr>
          <w:p>
            <w:pPr>
              <w:ind w:left="0" w:firstLine="0"/>
              <w:jc w:val="center"/>
              <w:keepLines w:val="0"/>
              <w:keepNext w:val="0"/>
              <w:pageBreakBefore w:val="0"/>
              <w:spacing w:line="240" w:lineRule="exact"/>
              <w:rPr>
                <w:rFonts w:hint="eastAsia" w:ascii="宋体" w:hAnsi="宋体"/>
                <w:b/>
                <w:szCs w:val="21"/>
              </w:rPr>
            </w:pPr>
            <w:r>
              <w:rPr>
                <w:rFonts w:hint="eastAsia" w:ascii="宋体" w:hAnsi="宋体"/>
                <w:b/>
                <w:szCs w:val="21"/>
              </w:rPr>
              <w:t xml:space="preserve">数量</w:t>
            </w:r>
            <w:r/>
          </w:p>
        </w:tc>
        <w:tc>
          <w:tcPr>
            <w:tcW w:w="1812" w:type="dxa"/>
            <w:vAlign w:val="center"/>
            <w:textDirection w:val="lrTb"/>
            <w:noWrap w:val="false"/>
          </w:tcPr>
          <w:p>
            <w:pPr>
              <w:ind w:left="0" w:firstLine="0"/>
              <w:jc w:val="center"/>
              <w:keepLines w:val="0"/>
              <w:keepNext w:val="0"/>
              <w:pageBreakBefore w:val="0"/>
              <w:spacing w:line="240" w:lineRule="exact"/>
              <w:rPr>
                <w:rFonts w:hint="eastAsia" w:ascii="宋体" w:hAnsi="宋体" w:eastAsia="宋体" w:cs="Times New Roman"/>
                <w:b/>
                <w:szCs w:val="21"/>
                <w:lang w:val="en-US" w:eastAsia="zh-CN"/>
              </w:rPr>
            </w:pPr>
            <w:r>
              <w:rPr>
                <w:rFonts w:hint="eastAsia" w:ascii="宋体" w:hAnsi="宋体" w:eastAsia="宋体" w:cs="Times New Roman"/>
                <w:b/>
                <w:szCs w:val="21"/>
                <w:lang w:val="en-US" w:eastAsia="zh-CN"/>
              </w:rPr>
              <w:t xml:space="preserve">全费用综合单价</w:t>
            </w:r>
            <w:r/>
          </w:p>
          <w:p>
            <w:pPr>
              <w:ind w:left="0" w:firstLine="0"/>
              <w:jc w:val="center"/>
              <w:keepLines w:val="0"/>
              <w:keepNext w:val="0"/>
              <w:pageBreakBefore w:val="0"/>
              <w:spacing w:line="240" w:lineRule="exact"/>
              <w:rPr>
                <w:rFonts w:hint="eastAsia" w:ascii="宋体" w:hAnsi="宋体" w:eastAsia="宋体" w:cs="Times New Roman"/>
                <w:b/>
                <w:szCs w:val="21"/>
              </w:rPr>
            </w:pPr>
            <w:r>
              <w:rPr>
                <w:rFonts w:hint="eastAsia" w:ascii="宋体" w:hAnsi="宋体" w:eastAsia="宋体" w:cs="Times New Roman"/>
                <w:b/>
                <w:szCs w:val="21"/>
                <w:lang w:val="en-US" w:eastAsia="zh-CN"/>
              </w:rPr>
              <w:t xml:space="preserve">（元）</w:t>
            </w:r>
            <w:r/>
          </w:p>
        </w:tc>
        <w:tc>
          <w:tcPr>
            <w:tcW w:w="1270" w:type="dxa"/>
            <w:vAlign w:val="center"/>
            <w:textDirection w:val="lrTb"/>
            <w:noWrap w:val="false"/>
          </w:tcPr>
          <w:p>
            <w:pPr>
              <w:ind w:left="0" w:firstLine="0"/>
              <w:jc w:val="center"/>
              <w:keepLines w:val="0"/>
              <w:keepNext w:val="0"/>
              <w:pageBreakBefore w:val="0"/>
              <w:spacing w:line="240" w:lineRule="exact"/>
              <w:rPr>
                <w:rFonts w:hint="eastAsia" w:ascii="宋体" w:hAnsi="宋体" w:eastAsia="宋体" w:cs="Times New Roman"/>
                <w:b/>
                <w:szCs w:val="21"/>
              </w:rPr>
            </w:pPr>
            <w:r>
              <w:rPr>
                <w:rFonts w:hint="eastAsia" w:ascii="宋体" w:hAnsi="宋体" w:eastAsia="宋体" w:cs="Times New Roman"/>
                <w:b/>
                <w:szCs w:val="21"/>
                <w:lang w:val="en-US" w:eastAsia="zh-CN"/>
              </w:rPr>
              <w:t xml:space="preserve">合价（元）</w:t>
            </w:r>
            <w:r/>
          </w:p>
        </w:tc>
        <w:tc>
          <w:tcPr>
            <w:tcW w:w="1425" w:type="dxa"/>
            <w:vAlign w:val="center"/>
            <w:textDirection w:val="lrTb"/>
            <w:noWrap w:val="false"/>
          </w:tcPr>
          <w:p>
            <w:pPr>
              <w:ind w:left="0" w:firstLine="0"/>
              <w:jc w:val="center"/>
              <w:keepLines w:val="0"/>
              <w:keepNext w:val="0"/>
              <w:pageBreakBefore w:val="0"/>
              <w:spacing w:line="240" w:lineRule="exact"/>
              <w:rPr>
                <w:rFonts w:hint="eastAsia" w:ascii="宋体" w:hAnsi="宋体" w:eastAsia="宋体" w:cs="Times New Roman"/>
                <w:b/>
                <w:szCs w:val="21"/>
              </w:rPr>
            </w:pPr>
            <w:r>
              <w:rPr>
                <w:rFonts w:hint="eastAsia" w:ascii="宋体" w:hAnsi="宋体" w:eastAsia="宋体" w:cs="Times New Roman"/>
                <w:b/>
                <w:szCs w:val="21"/>
                <w:lang w:val="en-US" w:eastAsia="zh-CN"/>
              </w:rPr>
              <w:t xml:space="preserve">投标品牌</w:t>
            </w:r>
            <w:r/>
          </w:p>
        </w:tc>
        <w:tc>
          <w:tcPr>
            <w:tcW w:w="1169" w:type="dxa"/>
            <w:vAlign w:val="center"/>
            <w:textDirection w:val="lrTb"/>
            <w:noWrap w:val="false"/>
          </w:tcPr>
          <w:p>
            <w:pPr>
              <w:ind w:left="0" w:firstLine="0"/>
              <w:jc w:val="center"/>
              <w:keepLines w:val="0"/>
              <w:keepNext w:val="0"/>
              <w:pageBreakBefore w:val="0"/>
              <w:spacing w:line="240" w:lineRule="exact"/>
              <w:rPr>
                <w:rFonts w:hint="default" w:ascii="宋体" w:hAnsi="宋体" w:eastAsia="宋体" w:cs="Times New Roman"/>
                <w:b/>
                <w:szCs w:val="21"/>
                <w:lang w:val="en-US" w:eastAsia="zh-CN"/>
              </w:rPr>
            </w:pPr>
            <w:r>
              <w:rPr>
                <w:rFonts w:hint="eastAsia" w:cs="Times New Roman"/>
                <w:b/>
                <w:szCs w:val="21"/>
                <w:lang w:val="en-US" w:eastAsia="zh-CN"/>
              </w:rPr>
              <w:t xml:space="preserve">型号</w:t>
            </w:r>
            <w:r/>
          </w:p>
        </w:tc>
        <w:tc>
          <w:tcPr>
            <w:tcW w:w="1855" w:type="dxa"/>
            <w:vAlign w:val="center"/>
            <w:textDirection w:val="lrTb"/>
            <w:noWrap w:val="false"/>
          </w:tcPr>
          <w:p>
            <w:pPr>
              <w:jc w:val="center"/>
              <w:keepLines w:val="0"/>
              <w:keepNext w:val="0"/>
              <w:pageBreakBefore w:val="0"/>
              <w:spacing w:line="240" w:lineRule="exact"/>
              <w:rPr>
                <w:rFonts w:hint="eastAsia" w:ascii="宋体" w:hAnsi="宋体" w:eastAsia="宋体" w:cs="Times New Roman"/>
                <w:b/>
                <w:szCs w:val="21"/>
              </w:rPr>
            </w:pPr>
            <w:r>
              <w:rPr>
                <w:rFonts w:hint="eastAsia" w:ascii="宋体" w:hAnsi="宋体" w:eastAsia="宋体" w:cs="Times New Roman"/>
                <w:b/>
                <w:szCs w:val="21"/>
                <w:lang w:val="en-US" w:eastAsia="zh-CN"/>
              </w:rPr>
              <w:t xml:space="preserve">备注</w:t>
            </w:r>
            <w:r/>
          </w:p>
        </w:tc>
      </w:tr>
      <w:tr>
        <w:trPr>
          <w:trHeight w:val="242"/>
        </w:trPr>
        <w:tc>
          <w:tcPr>
            <w:tcW w:w="966" w:type="dxa"/>
            <w:vAlign w:val="center"/>
            <w:textDirection w:val="lrTb"/>
            <w:noWrap w:val="false"/>
          </w:tcPr>
          <w:p>
            <w:pPr>
              <w:jc w:val="center"/>
              <w:keepLines w:val="0"/>
              <w:keepNext w:val="0"/>
              <w:pageBreakBefore w:val="0"/>
              <w:spacing w:line="240" w:lineRule="exact"/>
              <w:rPr>
                <w:rFonts w:hint="default" w:ascii="宋体" w:hAnsi="宋体" w:eastAsia="宋体" w:cs="宋体"/>
                <w:bCs/>
                <w:sz w:val="24"/>
                <w:szCs w:val="24"/>
                <w:lang w:val="en-US" w:eastAsia="zh-CN"/>
              </w:rPr>
            </w:pPr>
            <w:r>
              <w:rPr>
                <w:rFonts w:hint="eastAsia" w:cs="宋体"/>
                <w:bCs/>
                <w:sz w:val="24"/>
                <w:szCs w:val="24"/>
                <w:lang w:val="en-US" w:eastAsia="zh-CN"/>
              </w:rPr>
              <w:t xml:space="preserve">1</w:t>
            </w:r>
            <w:r/>
          </w:p>
        </w:tc>
        <w:tc>
          <w:tcPr>
            <w:tcW w:w="2012" w:type="dxa"/>
            <w:vAlign w:val="center"/>
            <w:textDirection w:val="lrTb"/>
            <w:noWrap w:val="false"/>
          </w:tcPr>
          <w:p>
            <w:pPr>
              <w:ind w:left="0" w:firstLine="0"/>
              <w:jc w:val="left"/>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094"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961" w:type="dxa"/>
            <w:vAlign w:val="center"/>
            <w:textDirection w:val="lrTb"/>
            <w:noWrap w:val="false"/>
          </w:tcPr>
          <w:p>
            <w:pPr>
              <w:ind w:firstLine="210"/>
              <w:jc w:val="left"/>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751" w:type="dxa"/>
            <w:vAlign w:val="center"/>
            <w:textDirection w:val="lrTb"/>
            <w:noWrap w:val="false"/>
          </w:tcPr>
          <w:p>
            <w:pPr>
              <w:ind w:firstLine="210"/>
              <w:jc w:val="left"/>
              <w:keepLines w:val="0"/>
              <w:keepNext w:val="0"/>
              <w:pageBreakBefore w:val="0"/>
              <w:spacing w:line="240" w:lineRule="exact"/>
              <w:widowControl/>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r>
            <w:r/>
          </w:p>
        </w:tc>
        <w:tc>
          <w:tcPr>
            <w:tcW w:w="1812" w:type="dxa"/>
            <w:vAlign w:val="center"/>
            <w:textDirection w:val="lrTb"/>
            <w:noWrap w:val="false"/>
          </w:tcPr>
          <w:p>
            <w:pPr>
              <w:ind w:firstLine="210"/>
              <w:jc w:val="left"/>
              <w:keepLines w:val="0"/>
              <w:keepNext w:val="0"/>
              <w:pageBreakBefore w:val="0"/>
              <w:spacing w:line="2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270" w:type="dxa"/>
            <w:vAlign w:val="center"/>
            <w:textDirection w:val="lrTb"/>
            <w:noWrap w:val="false"/>
          </w:tcPr>
          <w:p>
            <w:pPr>
              <w:ind w:firstLine="210"/>
              <w:jc w:val="left"/>
              <w:keepLines w:val="0"/>
              <w:keepNext w:val="0"/>
              <w:pageBreakBefore w:val="0"/>
              <w:spacing w:line="2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425" w:type="dxa"/>
            <w:vAlign w:val="center"/>
            <w:textDirection w:val="lrTb"/>
            <w:noWrap w:val="false"/>
          </w:tcPr>
          <w:p>
            <w:pPr>
              <w:ind w:firstLine="210"/>
              <w:jc w:val="left"/>
              <w:keepLines w:val="0"/>
              <w:keepNext w:val="0"/>
              <w:pageBreakBefore w:val="0"/>
              <w:spacing w:line="2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69" w:type="dxa"/>
            <w:vAlign w:val="center"/>
            <w:textDirection w:val="lrTb"/>
            <w:noWrap w:val="false"/>
          </w:tcPr>
          <w:p>
            <w:pPr>
              <w:ind w:firstLine="210"/>
              <w:jc w:val="left"/>
              <w:keepLines w:val="0"/>
              <w:keepNext w:val="0"/>
              <w:pageBreakBefore w:val="0"/>
              <w:spacing w:line="2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855" w:type="dxa"/>
            <w:vAlign w:val="center"/>
            <w:textDirection w:val="lrTb"/>
            <w:noWrap w:val="false"/>
          </w:tcPr>
          <w:p>
            <w:pPr>
              <w:ind w:firstLine="210"/>
              <w:jc w:val="left"/>
              <w:keepLines w:val="0"/>
              <w:keepNext w:val="0"/>
              <w:pageBreakBefore w:val="0"/>
              <w:spacing w:line="2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242"/>
        </w:trPr>
        <w:tc>
          <w:tcPr>
            <w:tcW w:w="96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Cs/>
                <w:sz w:val="21"/>
                <w:szCs w:val="21"/>
                <w:lang w:val="en-US" w:eastAsia="zh-CN"/>
              </w:rPr>
            </w:pPr>
            <w:r>
              <w:rPr>
                <w:rFonts w:hint="eastAsia" w:cs="宋体"/>
                <w:bCs/>
                <w:sz w:val="21"/>
                <w:szCs w:val="21"/>
                <w:lang w:val="en-US" w:eastAsia="zh-CN"/>
              </w:rPr>
              <w:t xml:space="preserve">2</w:t>
            </w:r>
            <w:r/>
          </w:p>
        </w:tc>
        <w:tc>
          <w:tcPr>
            <w:tcW w:w="2012" w:type="dxa"/>
            <w:vAlign w:val="center"/>
            <w:textDirection w:val="lrTb"/>
            <w:noWrap w:val="false"/>
          </w:tcPr>
          <w:p>
            <w:pPr>
              <w:ind w:left="0" w:firstLine="0"/>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94"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6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1812" w:type="dxa"/>
            <w:vAlign w:val="center"/>
            <w:textDirection w:val="lrTb"/>
            <w:noWrap w:val="false"/>
          </w:tcPr>
          <w:p>
            <w:pPr>
              <w:jc w:val="center"/>
              <w:keepLines w:val="0"/>
              <w:keepNext w:val="0"/>
              <w:pageBreakBefore w:val="0"/>
              <w:spacing w:line="240" w:lineRule="exact"/>
              <w:widowControl/>
              <w:rPr>
                <w:rFonts w:hint="eastAsia" w:ascii="宋体" w:hAnsi="宋体" w:cs="宋体"/>
                <w:color w:val="000000"/>
                <w:sz w:val="21"/>
                <w:szCs w:val="21"/>
                <w:lang w:val="en-US" w:eastAsia="zh-CN" w:bidi="ar"/>
              </w:rPr>
            </w:pPr>
            <w:r>
              <w:rPr>
                <w:rFonts w:hint="eastAsia" w:ascii="宋体" w:hAnsi="宋体" w:cs="宋体"/>
                <w:color w:val="000000"/>
                <w:sz w:val="21"/>
                <w:szCs w:val="21"/>
                <w:lang w:val="en-US" w:eastAsia="zh-CN" w:bidi="ar"/>
              </w:rPr>
            </w:r>
            <w:r/>
          </w:p>
        </w:tc>
        <w:tc>
          <w:tcPr>
            <w:tcW w:w="1270" w:type="dxa"/>
            <w:vAlign w:val="center"/>
            <w:textDirection w:val="lrTb"/>
            <w:noWrap w:val="false"/>
          </w:tcPr>
          <w:p>
            <w:pPr>
              <w:jc w:val="center"/>
              <w:keepLines w:val="0"/>
              <w:keepNext w:val="0"/>
              <w:pageBreakBefore w:val="0"/>
              <w:spacing w:line="240" w:lineRule="exact"/>
              <w:widowControl/>
              <w:rPr>
                <w:rFonts w:hint="eastAsia" w:ascii="宋体" w:hAnsi="宋体" w:cs="宋体"/>
                <w:color w:val="000000"/>
                <w:sz w:val="21"/>
                <w:szCs w:val="21"/>
                <w:lang w:val="en-US" w:eastAsia="zh-CN" w:bidi="ar"/>
              </w:rPr>
            </w:pPr>
            <w:r>
              <w:rPr>
                <w:rFonts w:hint="eastAsia" w:ascii="宋体" w:hAnsi="宋体" w:cs="宋体"/>
                <w:color w:val="000000"/>
                <w:sz w:val="21"/>
                <w:szCs w:val="21"/>
                <w:lang w:val="en-US" w:eastAsia="zh-CN" w:bidi="ar"/>
              </w:rPr>
            </w:r>
            <w:r/>
          </w:p>
        </w:tc>
        <w:tc>
          <w:tcPr>
            <w:tcW w:w="1425" w:type="dxa"/>
            <w:vAlign w:val="center"/>
            <w:textDirection w:val="lrTb"/>
            <w:noWrap w:val="false"/>
          </w:tcPr>
          <w:p>
            <w:pPr>
              <w:jc w:val="center"/>
              <w:keepLines w:val="0"/>
              <w:keepNext w:val="0"/>
              <w:pageBreakBefore w:val="0"/>
              <w:spacing w:line="240" w:lineRule="exact"/>
              <w:widowControl/>
              <w:rPr>
                <w:rFonts w:hint="eastAsia" w:ascii="宋体" w:hAnsi="宋体" w:cs="宋体"/>
                <w:color w:val="000000"/>
                <w:sz w:val="21"/>
                <w:szCs w:val="21"/>
                <w:lang w:val="en-US" w:eastAsia="zh-CN" w:bidi="ar"/>
              </w:rPr>
            </w:pPr>
            <w:r>
              <w:rPr>
                <w:rFonts w:hint="eastAsia" w:ascii="宋体" w:hAnsi="宋体" w:cs="宋体"/>
                <w:color w:val="000000"/>
                <w:sz w:val="21"/>
                <w:szCs w:val="21"/>
                <w:lang w:val="en-US" w:eastAsia="zh-CN" w:bidi="ar"/>
              </w:rPr>
            </w:r>
            <w:r/>
          </w:p>
        </w:tc>
        <w:tc>
          <w:tcPr>
            <w:tcW w:w="1169" w:type="dxa"/>
            <w:vAlign w:val="center"/>
            <w:textDirection w:val="lrTb"/>
            <w:noWrap w:val="false"/>
          </w:tcPr>
          <w:p>
            <w:pPr>
              <w:jc w:val="center"/>
              <w:keepLines w:val="0"/>
              <w:keepNext w:val="0"/>
              <w:pageBreakBefore w:val="0"/>
              <w:spacing w:line="240" w:lineRule="exact"/>
              <w:widowControl/>
              <w:rPr>
                <w:rFonts w:hint="eastAsia" w:ascii="宋体" w:hAnsi="宋体" w:cs="宋体"/>
                <w:color w:val="000000"/>
                <w:sz w:val="21"/>
                <w:szCs w:val="21"/>
                <w:lang w:val="en-US" w:eastAsia="zh-CN" w:bidi="ar"/>
              </w:rPr>
            </w:pPr>
            <w:r>
              <w:rPr>
                <w:rFonts w:hint="eastAsia" w:ascii="宋体" w:hAnsi="宋体" w:cs="宋体"/>
                <w:color w:val="000000"/>
                <w:sz w:val="21"/>
                <w:szCs w:val="21"/>
                <w:lang w:val="en-US" w:eastAsia="zh-CN" w:bidi="ar"/>
              </w:rPr>
            </w:r>
            <w:r/>
          </w:p>
        </w:tc>
        <w:tc>
          <w:tcPr>
            <w:tcW w:w="1855" w:type="dxa"/>
            <w:vAlign w:val="center"/>
            <w:textDirection w:val="lrTb"/>
            <w:noWrap w:val="false"/>
          </w:tcPr>
          <w:p>
            <w:pPr>
              <w:jc w:val="center"/>
              <w:keepLines w:val="0"/>
              <w:keepNext w:val="0"/>
              <w:pageBreakBefore w:val="0"/>
              <w:spacing w:line="240" w:lineRule="exact"/>
              <w:widowControl/>
              <w:rPr>
                <w:rFonts w:hint="eastAsia" w:ascii="宋体" w:hAnsi="宋体" w:cs="宋体"/>
                <w:color w:val="000000"/>
                <w:sz w:val="21"/>
                <w:szCs w:val="21"/>
                <w:lang w:val="en-US" w:eastAsia="zh-CN" w:bidi="ar"/>
              </w:rPr>
            </w:pPr>
            <w:r>
              <w:rPr>
                <w:rFonts w:hint="eastAsia" w:ascii="宋体" w:hAnsi="宋体" w:cs="宋体"/>
                <w:color w:val="000000"/>
                <w:sz w:val="21"/>
                <w:szCs w:val="21"/>
                <w:lang w:val="en-US" w:eastAsia="zh-CN" w:bidi="ar"/>
              </w:rPr>
            </w:r>
            <w:r/>
          </w:p>
        </w:tc>
      </w:tr>
      <w:tr>
        <w:trPr>
          <w:trHeight w:val="242"/>
        </w:trPr>
        <w:tc>
          <w:tcPr>
            <w:tcW w:w="96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Cs/>
                <w:sz w:val="21"/>
                <w:szCs w:val="21"/>
                <w:lang w:val="en-US" w:eastAsia="zh-CN"/>
              </w:rPr>
            </w:pPr>
            <w:r>
              <w:rPr>
                <w:rFonts w:hint="eastAsia" w:cs="宋体"/>
                <w:bCs/>
                <w:sz w:val="21"/>
                <w:szCs w:val="21"/>
                <w:lang w:val="en-US" w:eastAsia="zh-CN"/>
              </w:rPr>
              <w:t xml:space="preserve">3</w:t>
            </w:r>
            <w:r/>
          </w:p>
        </w:tc>
        <w:tc>
          <w:tcPr>
            <w:tcW w:w="2012" w:type="dxa"/>
            <w:vAlign w:val="center"/>
            <w:textDirection w:val="lrTb"/>
            <w:noWrap w:val="false"/>
          </w:tcPr>
          <w:p>
            <w:pPr>
              <w:ind w:left="0" w:firstLine="0"/>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94" w:type="dxa"/>
            <w:vAlign w:val="center"/>
            <w:textDirection w:val="lrTb"/>
            <w:noWrap w:val="false"/>
          </w:tcPr>
          <w:p>
            <w:pPr>
              <w:jc w:val="left"/>
              <w:keepLines w:val="0"/>
              <w:keepNext w:val="0"/>
              <w:pageBreakBefore w:val="0"/>
              <w:spacing w:line="240" w:lineRule="exact"/>
              <w:widowControl/>
              <w:rPr>
                <w:rFonts w:hint="eastAsia"/>
              </w:rPr>
            </w:pPr>
            <w:r>
              <w:rPr>
                <w:rFonts w:hint="eastAsia"/>
              </w:rPr>
            </w:r>
            <w:r/>
          </w:p>
        </w:tc>
        <w:tc>
          <w:tcPr>
            <w:tcW w:w="96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181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27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42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169"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r>
      <w:tr>
        <w:trPr>
          <w:trHeight w:val="242"/>
        </w:trPr>
        <w:tc>
          <w:tcPr>
            <w:tcW w:w="966"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Cs/>
                <w:sz w:val="21"/>
                <w:szCs w:val="21"/>
                <w:lang w:val="en-US" w:eastAsia="zh-CN"/>
              </w:rPr>
            </w:pPr>
            <w:r>
              <w:rPr>
                <w:rFonts w:hint="eastAsia" w:cs="宋体"/>
                <w:bCs/>
                <w:sz w:val="21"/>
                <w:szCs w:val="21"/>
                <w:lang w:val="en-US" w:eastAsia="zh-CN"/>
              </w:rPr>
              <w:t xml:space="preserve">...</w:t>
            </w:r>
            <w:r/>
          </w:p>
        </w:tc>
        <w:tc>
          <w:tcPr>
            <w:tcW w:w="2012" w:type="dxa"/>
            <w:vAlign w:val="center"/>
            <w:textDirection w:val="lrTb"/>
            <w:noWrap w:val="false"/>
          </w:tcPr>
          <w:p>
            <w:pPr>
              <w:ind w:left="0" w:firstLine="0"/>
              <w:jc w:val="both"/>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94"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6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1812" w:type="dxa"/>
            <w:vAlign w:val="center"/>
            <w:textDirection w:val="lrTb"/>
            <w:noWrap w:val="false"/>
          </w:tcPr>
          <w:p>
            <w:pPr>
              <w:jc w:val="center"/>
              <w:keepLines w:val="0"/>
              <w:keepNext w:val="0"/>
              <w:pageBreakBefore w:val="0"/>
              <w:spacing w:line="240" w:lineRule="exact"/>
              <w:widowControl/>
              <w:rPr>
                <w:rFonts w:hint="eastAsia" w:ascii="宋体" w:hAnsi="宋体" w:cs="宋体"/>
                <w:color w:val="000000"/>
                <w:sz w:val="21"/>
                <w:szCs w:val="21"/>
                <w:lang w:val="en-US" w:eastAsia="zh-CN" w:bidi="ar"/>
              </w:rPr>
            </w:pPr>
            <w:r>
              <w:rPr>
                <w:rFonts w:hint="eastAsia" w:ascii="宋体" w:hAnsi="宋体" w:cs="宋体"/>
                <w:color w:val="000000"/>
                <w:sz w:val="21"/>
                <w:szCs w:val="21"/>
                <w:lang w:val="en-US" w:eastAsia="zh-CN" w:bidi="ar"/>
              </w:rPr>
            </w:r>
            <w:r/>
          </w:p>
        </w:tc>
        <w:tc>
          <w:tcPr>
            <w:tcW w:w="1270" w:type="dxa"/>
            <w:vAlign w:val="center"/>
            <w:textDirection w:val="lrTb"/>
            <w:noWrap w:val="false"/>
          </w:tcPr>
          <w:p>
            <w:pPr>
              <w:jc w:val="center"/>
              <w:keepLines w:val="0"/>
              <w:keepNext w:val="0"/>
              <w:pageBreakBefore w:val="0"/>
              <w:spacing w:line="240" w:lineRule="exact"/>
              <w:widowControl/>
              <w:rPr>
                <w:rFonts w:hint="eastAsia" w:ascii="宋体" w:hAnsi="宋体" w:cs="宋体"/>
                <w:color w:val="000000"/>
                <w:sz w:val="21"/>
                <w:szCs w:val="21"/>
                <w:lang w:val="en-US" w:eastAsia="zh-CN" w:bidi="ar"/>
              </w:rPr>
            </w:pPr>
            <w:r>
              <w:rPr>
                <w:rFonts w:hint="eastAsia" w:ascii="宋体" w:hAnsi="宋体" w:cs="宋体"/>
                <w:color w:val="000000"/>
                <w:sz w:val="21"/>
                <w:szCs w:val="21"/>
                <w:lang w:val="en-US" w:eastAsia="zh-CN" w:bidi="ar"/>
              </w:rPr>
            </w:r>
            <w:r/>
          </w:p>
        </w:tc>
        <w:tc>
          <w:tcPr>
            <w:tcW w:w="1425" w:type="dxa"/>
            <w:vAlign w:val="center"/>
            <w:textDirection w:val="lrTb"/>
            <w:noWrap w:val="false"/>
          </w:tcPr>
          <w:p>
            <w:pPr>
              <w:jc w:val="center"/>
              <w:keepLines w:val="0"/>
              <w:keepNext w:val="0"/>
              <w:pageBreakBefore w:val="0"/>
              <w:spacing w:line="240" w:lineRule="exact"/>
              <w:widowControl/>
              <w:rPr>
                <w:rFonts w:hint="eastAsia" w:ascii="宋体" w:hAnsi="宋体" w:cs="宋体"/>
                <w:color w:val="000000"/>
                <w:sz w:val="21"/>
                <w:szCs w:val="21"/>
                <w:lang w:val="en-US" w:eastAsia="zh-CN" w:bidi="ar"/>
              </w:rPr>
            </w:pPr>
            <w:r>
              <w:rPr>
                <w:rFonts w:hint="eastAsia" w:ascii="宋体" w:hAnsi="宋体" w:cs="宋体"/>
                <w:color w:val="000000"/>
                <w:sz w:val="21"/>
                <w:szCs w:val="21"/>
                <w:lang w:val="en-US" w:eastAsia="zh-CN" w:bidi="ar"/>
              </w:rPr>
            </w:r>
            <w:r/>
          </w:p>
        </w:tc>
        <w:tc>
          <w:tcPr>
            <w:tcW w:w="1169" w:type="dxa"/>
            <w:vAlign w:val="center"/>
            <w:textDirection w:val="lrTb"/>
            <w:noWrap w:val="false"/>
          </w:tcPr>
          <w:p>
            <w:pPr>
              <w:jc w:val="center"/>
              <w:keepLines w:val="0"/>
              <w:keepNext w:val="0"/>
              <w:pageBreakBefore w:val="0"/>
              <w:spacing w:line="240" w:lineRule="exact"/>
              <w:widowControl/>
              <w:rPr>
                <w:rFonts w:hint="eastAsia" w:ascii="宋体" w:hAnsi="宋体" w:cs="宋体"/>
                <w:color w:val="000000"/>
                <w:sz w:val="21"/>
                <w:szCs w:val="21"/>
                <w:lang w:val="en-US" w:eastAsia="zh-CN" w:bidi="ar"/>
              </w:rPr>
            </w:pPr>
            <w:r>
              <w:rPr>
                <w:rFonts w:hint="eastAsia" w:ascii="宋体" w:hAnsi="宋体" w:cs="宋体"/>
                <w:color w:val="000000"/>
                <w:sz w:val="21"/>
                <w:szCs w:val="21"/>
                <w:lang w:val="en-US" w:eastAsia="zh-CN" w:bidi="ar"/>
              </w:rPr>
            </w:r>
            <w:r/>
          </w:p>
        </w:tc>
        <w:tc>
          <w:tcPr>
            <w:tcW w:w="1855" w:type="dxa"/>
            <w:vAlign w:val="center"/>
            <w:textDirection w:val="lrTb"/>
            <w:noWrap w:val="false"/>
          </w:tcPr>
          <w:p>
            <w:pPr>
              <w:jc w:val="center"/>
              <w:keepLines w:val="0"/>
              <w:keepNext w:val="0"/>
              <w:pageBreakBefore w:val="0"/>
              <w:spacing w:line="240" w:lineRule="exact"/>
              <w:widowControl/>
              <w:rPr>
                <w:rFonts w:hint="eastAsia" w:ascii="宋体" w:hAnsi="宋体" w:cs="宋体"/>
                <w:color w:val="000000"/>
                <w:sz w:val="21"/>
                <w:szCs w:val="21"/>
                <w:lang w:val="en-US" w:eastAsia="zh-CN" w:bidi="ar"/>
              </w:rPr>
            </w:pPr>
            <w:r>
              <w:rPr>
                <w:rFonts w:hint="eastAsia" w:ascii="宋体" w:hAnsi="宋体" w:cs="宋体"/>
                <w:color w:val="000000"/>
                <w:sz w:val="21"/>
                <w:szCs w:val="21"/>
                <w:lang w:val="en-US" w:eastAsia="zh-CN" w:bidi="ar"/>
              </w:rPr>
            </w:r>
            <w:r/>
          </w:p>
        </w:tc>
      </w:tr>
      <w:tr>
        <w:trPr>
          <w:trHeight w:val="252"/>
        </w:trPr>
        <w:tc>
          <w:tcPr>
            <w:gridSpan w:val="10"/>
            <w:tcW w:w="15315" w:type="dxa"/>
            <w:vAlign w:val="center"/>
            <w:textDirection w:val="lrTb"/>
            <w:noWrap w:val="false"/>
          </w:tcPr>
          <w:p>
            <w:pPr>
              <w:jc w:val="center"/>
              <w:keepLines w:val="0"/>
              <w:keepNext w:val="0"/>
              <w:pageBreakBefore w:val="0"/>
              <w:spacing w:line="240" w:lineRule="exact"/>
              <w:rPr>
                <w:rFonts w:hint="default" w:ascii="宋体" w:hAnsi="宋体" w:cs="宋体"/>
                <w:sz w:val="21"/>
                <w:szCs w:val="21"/>
                <w:lang w:val="en-US" w:eastAsia="zh-CN"/>
              </w:rPr>
            </w:pPr>
            <w:r>
              <w:rPr>
                <w:rFonts w:hint="eastAsia" w:ascii="宋体" w:hAnsi="宋体" w:cs="宋体"/>
                <w:sz w:val="21"/>
                <w:szCs w:val="21"/>
                <w:lang w:val="en-US" w:eastAsia="zh-CN"/>
              </w:rPr>
              <w:t xml:space="preserve">总价（大写）：   （小写）：</w:t>
            </w:r>
            <w:r/>
          </w:p>
        </w:tc>
      </w:tr>
    </w:tbl>
    <w:p>
      <w:pPr>
        <w:pStyle w:val="1118"/>
        <w:ind w:firstLine="420"/>
        <w:jc w:val="both"/>
        <w:keepLines w:val="0"/>
        <w:keepNext w:val="0"/>
        <w:pageBreakBefore w:val="0"/>
        <w:spacing w:beforeAutospacing="0" w:afterAutospacing="0" w:line="500" w:lineRule="exact"/>
        <w:widowControl w:val="off"/>
        <w:rPr>
          <w:rFonts w:hint="eastAsia" w:ascii="宋体" w:hAnsi="宋体" w:eastAsia="宋体" w:cs="宋体"/>
          <w:i/>
          <w:iCs/>
          <w:color w:val="auto"/>
          <w:sz w:val="21"/>
          <w:szCs w:val="21"/>
          <w:highlight w:val="none"/>
          <w:u w:val="single"/>
        </w:rPr>
      </w:pPr>
      <w:r>
        <w:rPr>
          <w:rFonts w:hint="eastAsia" w:ascii="宋体" w:hAnsi="宋体" w:eastAsia="宋体" w:cs="宋体"/>
          <w:color w:val="auto"/>
          <w:sz w:val="21"/>
          <w:szCs w:val="21"/>
          <w:highlight w:val="none"/>
        </w:rPr>
        <w:t xml:space="preserve">备注：</w:t>
      </w:r>
      <w:r>
        <w:rPr>
          <w:rFonts w:hint="eastAsia" w:ascii="宋体" w:hAnsi="宋体" w:eastAsia="宋体" w:cs="宋体"/>
          <w:i/>
          <w:iCs/>
          <w:color w:val="auto"/>
          <w:sz w:val="21"/>
          <w:szCs w:val="21"/>
          <w:highlight w:val="none"/>
          <w:u w:val="single"/>
          <w:lang w:val="en-US" w:eastAsia="zh-CN"/>
        </w:rPr>
        <w:t xml:space="preserve">1、</w:t>
      </w:r>
      <w:r>
        <w:rPr>
          <w:rFonts w:hint="eastAsia" w:ascii="宋体" w:hAnsi="宋体" w:eastAsia="宋体" w:cs="宋体"/>
          <w:i/>
          <w:iCs/>
          <w:color w:val="auto"/>
          <w:sz w:val="21"/>
          <w:szCs w:val="21"/>
          <w:highlight w:val="none"/>
          <w:u w:val="single"/>
        </w:rPr>
        <w:t xml:space="preserve">本项目采用全费用综合单价报价，投标人应按规定格式报价，该报价应包括但不限于人工费、材料费、机械费、设备费、运杂费、包装费、保险费、制作安装费、调试费、验收费、售后服务费、招标代理费、管理费、利润、规费、税金等一切费用。投标人应充分考虑项目的规模、性质、供货期间的市场风险和国家政策性调整风险系数以及</w:t>
      </w:r>
      <w:r>
        <w:rPr>
          <w:rFonts w:hint="eastAsia" w:ascii="宋体" w:hAnsi="宋体" w:eastAsia="宋体" w:cs="宋体"/>
          <w:i/>
          <w:iCs/>
          <w:color w:val="auto"/>
          <w:sz w:val="21"/>
          <w:szCs w:val="21"/>
          <w:highlight w:val="none"/>
          <w:u w:val="single"/>
          <w:lang w:eastAsia="zh-CN"/>
        </w:rPr>
        <w:t xml:space="preserve">采购人</w:t>
      </w:r>
      <w:r>
        <w:rPr>
          <w:rFonts w:hint="eastAsia" w:ascii="宋体" w:hAnsi="宋体" w:eastAsia="宋体" w:cs="宋体"/>
          <w:i/>
          <w:iCs/>
          <w:color w:val="auto"/>
          <w:sz w:val="21"/>
          <w:szCs w:val="21"/>
          <w:highlight w:val="none"/>
          <w:u w:val="single"/>
        </w:rPr>
        <w:t xml:space="preserve">对项目范围、供货期、质量等的要求，并计入报价中，最终全费用综合单价不作调整。</w:t>
      </w:r>
      <w:r/>
    </w:p>
    <w:p>
      <w:pPr>
        <w:pStyle w:val="1118"/>
        <w:numPr>
          <w:ilvl w:val="0"/>
          <w:numId w:val="3"/>
        </w:numPr>
        <w:ind w:left="240" w:firstLine="189"/>
        <w:jc w:val="both"/>
        <w:keepLines w:val="0"/>
        <w:keepNext w:val="0"/>
        <w:pageBreakBefore w:val="0"/>
        <w:spacing w:beforeAutospacing="0" w:afterAutospacing="0" w:line="500" w:lineRule="exact"/>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投标报价不得高于最高限价。</w:t>
      </w:r>
      <w:r/>
    </w:p>
    <w:p>
      <w:pPr>
        <w:pStyle w:val="1118"/>
        <w:numPr>
          <w:ilvl w:val="0"/>
          <w:numId w:val="3"/>
        </w:numPr>
        <w:ind w:left="240" w:firstLine="189"/>
        <w:jc w:val="both"/>
        <w:keepLines w:val="0"/>
        <w:keepNext w:val="0"/>
        <w:pageBreakBefore w:val="0"/>
        <w:spacing w:beforeAutospacing="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“投标分项报价表”中“投标总报价”数额应当与“开标一览表”中“投标总报价”数额一致。</w:t>
      </w:r>
      <w:r/>
    </w:p>
    <w:p>
      <w:pPr>
        <w:pStyle w:val="1118"/>
        <w:numPr>
          <w:ilvl w:val="0"/>
          <w:numId w:val="0"/>
        </w:numPr>
        <w:jc w:val="both"/>
        <w:keepLines w:val="0"/>
        <w:keepNext w:val="0"/>
        <w:pageBreakBefore w:val="0"/>
        <w:spacing w:beforeAutospacing="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18"/>
        <w:jc w:val="right"/>
        <w:keepLines w:val="0"/>
        <w:keepNext w:val="0"/>
        <w:pageBreakBefore w:val="0"/>
        <w:spacing w:beforeAutospacing="0" w:afterAutospacing="0"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投标人公章：（电子签章）</w:t>
      </w:r>
      <w:r/>
    </w:p>
    <w:p>
      <w:pPr>
        <w:ind w:firstLine="0"/>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 年 月 日</w:t>
      </w:r>
      <w:r/>
    </w:p>
    <w:p>
      <w:pPr>
        <w:rPr>
          <w:rFonts w:hint="eastAsia" w:ascii="宋体" w:hAnsi="宋体" w:eastAsia="宋体" w:cs="宋体"/>
          <w:b/>
          <w:color w:val="auto"/>
          <w:sz w:val="32"/>
          <w:szCs w:val="32"/>
          <w:highlight w:val="none"/>
        </w:rPr>
        <w:sectPr>
          <w:footnotePr/>
          <w:endnotePr/>
          <w:type w:val="nextPage"/>
          <w:pgSz w:w="16838" w:h="11906" w:orient="landscape"/>
          <w:pgMar w:top="1417" w:right="1417" w:bottom="1417" w:left="1417" w:header="851" w:footer="907" w:gutter="0"/>
          <w:cols w:num="1" w:sep="0" w:space="0" w:equalWidth="1"/>
          <w:docGrid w:linePitch="360"/>
          <w:titlePg/>
        </w:sectPr>
      </w:pPr>
      <w:r>
        <w:rPr>
          <w:rFonts w:hint="eastAsia" w:ascii="宋体" w:hAnsi="宋体" w:eastAsia="宋体" w:cs="宋体"/>
          <w:b/>
          <w:color w:val="auto"/>
          <w:sz w:val="32"/>
          <w:szCs w:val="32"/>
          <w:highlight w:val="none"/>
        </w:rPr>
        <w:br w:type="page" w:clear="all"/>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0"/>
        <w:jc w:val="center"/>
        <w:rPr>
          <w:rFonts w:hint="eastAsia" w:ascii="宋体" w:hAnsi="宋体" w:eastAsia="宋体" w:cs="宋体"/>
          <w:b/>
          <w:i/>
          <w:color w:val="auto"/>
          <w:sz w:val="32"/>
          <w:szCs w:val="32"/>
          <w:highlight w:val="none"/>
          <w:u w:val="single"/>
          <w:lang w:val="en-US" w:eastAsia="zh-CN" w:bidi="ar-SA"/>
        </w:rPr>
      </w:pPr>
      <w:r>
        <w:rPr>
          <w:rFonts w:hint="eastAsia" w:ascii="宋体" w:hAnsi="宋体" w:eastAsia="宋体" w:cs="宋体"/>
          <w:b/>
          <w:i/>
          <w:color w:val="auto"/>
          <w:sz w:val="32"/>
          <w:szCs w:val="32"/>
          <w:highlight w:val="none"/>
          <w:u w:val="single"/>
          <w:lang w:val="en-US" w:eastAsia="zh-CN" w:bidi="ar-SA"/>
        </w:rPr>
        <w:t xml:space="preserve">十二、技术要求响应及偏离表</w:t>
      </w:r>
      <w:r/>
    </w:p>
    <w:tbl>
      <w:tblPr>
        <w:tblStyle w:val="936"/>
        <w:tblW w:w="9718" w:type="dxa"/>
        <w:tblCellSpacing w:w="0"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3"/>
        <w:gridCol w:w="3452"/>
        <w:gridCol w:w="2975"/>
        <w:gridCol w:w="1422"/>
        <w:gridCol w:w="1256"/>
      </w:tblGrid>
      <w:tr>
        <w:trPr>
          <w:tblCellSpacing w:w="0" w:type="dxa"/>
          <w:trHeight w:val="1229"/>
        </w:trPr>
        <w:tc>
          <w:tcPr>
            <w:tcW w:w="613"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345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2975"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42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256"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56"/>
        </w:trPr>
        <w:tc>
          <w:tcPr>
            <w:tcW w:w="613"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345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975"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42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256"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W w:w="613"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345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975"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42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256"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W w:w="613"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345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975"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42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256"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W w:w="613"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345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975"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42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256"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W w:w="613"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345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975"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42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256"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W w:w="613"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345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975"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42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256"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W w:w="613"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345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975"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42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256"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W w:w="613"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345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2975"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42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256"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行数不够，可自行添加。</w:t>
      </w:r>
      <w:r/>
    </w:p>
    <w:p>
      <w:pPr>
        <w:pStyle w:val="111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169" w:name="_Hlt26955054"/>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rPr>
        <w:t xml:space="preserve">、商务要求响应及偏离表</w:t>
      </w:r>
      <w:r/>
    </w:p>
    <w:tbl>
      <w:tblPr>
        <w:tblStyle w:val="936"/>
        <w:tblW w:w="957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04"/>
        <w:gridCol w:w="3402"/>
        <w:gridCol w:w="2932"/>
        <w:gridCol w:w="1402"/>
        <w:gridCol w:w="1237"/>
      </w:tblGrid>
      <w:tr>
        <w:trPr>
          <w:tblCellSpacing w:w="0" w:type="dxa"/>
          <w:trHeight w:val="1229"/>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bookmarkStart w:id="170" w:name="_Hlt26782999"/>
            <w:r/>
            <w:bookmarkStart w:id="171" w:name="_Hlt26955064"/>
            <w:r/>
            <w:bookmarkStart w:id="172" w:name="_Hlt24879081"/>
            <w:r/>
            <w:bookmarkStart w:id="173" w:name="_Hlt26671343"/>
            <w:r/>
            <w:bookmarkStart w:id="174" w:name="_Hlt26671372"/>
            <w:r/>
            <w:bookmarkStart w:id="175" w:name="_Hlt26609391"/>
            <w:r/>
            <w:bookmarkStart w:id="176" w:name="_Hlt26955056"/>
            <w:r/>
            <w:bookmarkStart w:id="177" w:name="_Hlt26580838"/>
            <w:r>
              <w:rPr>
                <w:rFonts w:hint="eastAsia" w:ascii="宋体" w:hAnsi="宋体" w:eastAsia="宋体" w:cs="宋体"/>
                <w:color w:val="auto"/>
                <w:highlight w:val="none"/>
              </w:rPr>
              <w:t xml:space="preserve">序号</w:t>
            </w:r>
            <w:bookmarkEnd w:id="170"/>
            <w:r/>
            <w:bookmarkEnd w:id="171"/>
            <w:r/>
            <w:bookmarkEnd w:id="172"/>
            <w:r/>
            <w:bookmarkEnd w:id="173"/>
            <w:r/>
            <w:bookmarkEnd w:id="174"/>
            <w:r/>
            <w:bookmarkEnd w:id="175"/>
            <w:r/>
            <w:bookmarkEnd w:id="176"/>
            <w:r/>
            <w:bookmarkEnd w:id="177"/>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93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93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93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93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93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93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93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93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93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1118"/>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center"/>
        <w:spacing w:beforeAutospacing="0" w:afterAutospacing="0"/>
        <w:rPr>
          <w:rFonts w:hint="eastAsia" w:ascii="宋体" w:hAnsi="宋体" w:eastAsia="宋体" w:cs="宋体"/>
          <w:color w:val="auto"/>
          <w:highlight w:val="none"/>
        </w:rPr>
      </w:pPr>
      <w:r/>
      <w:bookmarkStart w:id="178" w:name="_Hlt26609389"/>
      <w:r/>
      <w:bookmarkStart w:id="179" w:name="_Toc462564146"/>
      <w:r/>
      <w:bookmarkStart w:id="180" w:name="_格式2__法定代表人授权书"/>
      <w:r/>
      <w:bookmarkStart w:id="181" w:name="_Hlt26671374"/>
      <w:r/>
      <w:bookmarkStart w:id="182" w:name="_Hlt26955066"/>
      <w:r>
        <w:rPr>
          <w:rFonts w:hint="eastAsia" w:ascii="宋体" w:hAnsi="宋体" w:eastAsia="宋体" w:cs="宋体"/>
          <w:color w:val="auto"/>
          <w:highlight w:val="none"/>
        </w:rPr>
        <w:t xml:space="preserve"> </w:t>
      </w:r>
      <w:r/>
    </w:p>
    <w:p>
      <w:pPr>
        <w:pStyle w:val="111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spacing w:line="240" w:lineRule="auto"/>
        <w:widowControl/>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t xml:space="preserve">十</w:t>
      </w:r>
      <w:r>
        <w:rPr>
          <w:rFonts w:hint="eastAsia" w:ascii="宋体" w:hAnsi="宋体" w:eastAsia="宋体" w:cs="宋体"/>
          <w:b/>
          <w:i/>
          <w:color w:val="auto"/>
          <w:sz w:val="32"/>
          <w:szCs w:val="32"/>
          <w:highlight w:val="none"/>
          <w:u w:val="single"/>
          <w:lang w:val="en-US" w:eastAsia="zh-CN"/>
        </w:rPr>
        <w:t xml:space="preserve">四</w:t>
      </w:r>
      <w:r>
        <w:rPr>
          <w:rFonts w:hint="eastAsia" w:ascii="宋体" w:hAnsi="宋体" w:eastAsia="宋体" w:cs="宋体"/>
          <w:b/>
          <w:i/>
          <w:color w:val="auto"/>
          <w:sz w:val="32"/>
          <w:szCs w:val="32"/>
          <w:highlight w:val="none"/>
          <w:u w:val="single"/>
        </w:rPr>
        <w:t xml:space="preserve">、开标一览表</w:t>
      </w:r>
      <w:r/>
    </w:p>
    <w:p>
      <w:pPr>
        <w:pStyle w:val="959"/>
        <w:ind w:firstLine="4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投标人全称（加盖CA电子签章）：</w:t>
      </w:r>
      <w:r/>
    </w:p>
    <w:p>
      <w:pPr>
        <w:pStyle w:val="95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95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95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936"/>
        <w:tblW w:w="841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jc w:val="cente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5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jc w:val="cente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59"/>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jc w:val="cente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59"/>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r>
        <w:trPr>
          <w:jc w:val="cente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959"/>
              <w:jc w:val="center"/>
              <w:spacing w:beforeAutospacing="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959"/>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959"/>
              <w:jc w:val="center"/>
              <w:spacing w:beforeAutospacing="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959"/>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9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59"/>
        <w:ind w:firstLine="480"/>
        <w:jc w:val="righ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59"/>
        <w:ind w:firstLine="240"/>
        <w:jc w:val="righ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9"/>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18"/>
        <w:jc w:val="both"/>
        <w:spacing w:beforeAutospacing="0" w:afterAutospacing="0"/>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r>
      <w:r/>
    </w:p>
    <w:p>
      <w:pPr>
        <w:pStyle w:val="1118"/>
        <w:jc w:val="both"/>
        <w:spacing w:beforeAutospacing="0" w:afterAutospacing="0"/>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r>
      <w:r/>
    </w:p>
    <w:p>
      <w:pPr>
        <w:pStyle w:val="1118"/>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b/>
          <w:color w:val="auto"/>
          <w:sz w:val="32"/>
          <w:szCs w:val="32"/>
          <w:highlight w:val="none"/>
          <w:lang w:val="en-US" w:eastAsia="zh-CN" w:bidi="ar-SA"/>
        </w:rPr>
        <w:t xml:space="preserve">十五、技术方案、服务承诺、培训承诺等</w:t>
      </w:r>
      <w:r/>
    </w:p>
    <w:p>
      <w:pPr>
        <w:pStyle w:val="111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1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1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1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1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1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1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1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1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1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1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1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1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1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1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1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1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1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1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1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1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0"/>
        <w:jc w:val="center"/>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0"/>
        <w:jc w:val="center"/>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b/>
          <w:i/>
          <w:iCs/>
          <w:color w:val="auto"/>
          <w:sz w:val="32"/>
          <w:szCs w:val="32"/>
          <w:highlight w:val="none"/>
          <w:u w:val="single"/>
        </w:rPr>
        <w:t xml:space="preserve">十</w:t>
      </w:r>
      <w:r>
        <w:rPr>
          <w:rFonts w:hint="eastAsia" w:ascii="宋体" w:hAnsi="宋体" w:eastAsia="宋体" w:cs="宋体"/>
          <w:b/>
          <w:i/>
          <w:iCs/>
          <w:color w:val="auto"/>
          <w:sz w:val="32"/>
          <w:szCs w:val="32"/>
          <w:highlight w:val="none"/>
          <w:u w:val="single"/>
          <w:lang w:val="en-US" w:eastAsia="zh-CN"/>
        </w:rPr>
        <w:t xml:space="preserve">六</w:t>
      </w:r>
      <w:r>
        <w:rPr>
          <w:rFonts w:hint="eastAsia" w:ascii="宋体" w:hAnsi="宋体" w:eastAsia="宋体" w:cs="宋体"/>
          <w:b/>
          <w:i/>
          <w:iCs/>
          <w:color w:val="auto"/>
          <w:sz w:val="32"/>
          <w:szCs w:val="32"/>
          <w:highlight w:val="none"/>
          <w:u w:val="single"/>
        </w:rPr>
        <w:t xml:space="preserve">、政府采购事前信用承诺书</w:t>
      </w:r>
      <w:r>
        <w:rPr>
          <w:rFonts w:hint="eastAsia" w:ascii="宋体" w:hAnsi="宋体" w:eastAsia="宋体" w:cs="宋体"/>
          <w:color w:val="auto"/>
          <w:sz w:val="32"/>
          <w:szCs w:val="32"/>
          <w:highlight w:val="none"/>
        </w:rPr>
        <w:t xml:space="preserve"> </w:t>
      </w:r>
      <w:r/>
    </w:p>
    <w:p>
      <w:pPr>
        <w:ind w:firstLine="480"/>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（四）严格遵守即时信息公示规定，及时维护和更新维护和更新盐城市政府采购网中与本单位相关的信息；</w:t>
      </w:r>
      <w:r/>
    </w:p>
    <w:p>
      <w:pPr>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165"/>
      <w:r/>
      <w:bookmarkEnd w:id="166"/>
      <w:r/>
      <w:bookmarkEnd w:id="167"/>
      <w:r/>
      <w:bookmarkEnd w:id="168"/>
      <w:r/>
      <w:bookmarkEnd w:id="169"/>
      <w:r/>
      <w:bookmarkEnd w:id="178"/>
      <w:r/>
      <w:bookmarkEnd w:id="179"/>
      <w:r/>
      <w:bookmarkEnd w:id="180"/>
      <w:r/>
      <w:bookmarkEnd w:id="181"/>
      <w:r/>
      <w:bookmarkEnd w:id="182"/>
      <w:r/>
      <w:r/>
    </w:p>
    <w:p>
      <w:pPr>
        <w:pStyle w:val="1118"/>
        <w:jc w:val="center"/>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spacing w:line="24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118"/>
        <w:ind w:firstLine="0"/>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1118"/>
        <w:jc w:val="both"/>
        <w:spacing w:before="290"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18"/>
        <w:jc w:val="both"/>
        <w:spacing w:beforeAutospacing="0" w:afterAutospacing="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18"/>
        <w:jc w:val="both"/>
        <w:spacing w:beforeAutospacing="0" w:afterAutospacing="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18"/>
        <w:jc w:val="both"/>
        <w:spacing w:beforeAutospacing="0" w:afterAutospacing="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1118"/>
        <w:jc w:val="both"/>
        <w:spacing w:beforeAutospacing="0" w:afterAutospacing="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1118"/>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11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111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111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111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11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111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111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111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17" w:right="1304" w:bottom="1417" w:left="1304"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ymbol">
    <w:panose1 w:val="05050102010706020507"/>
  </w:font>
  <w:font w:name="Wingdings">
    <w:panose1 w:val="05000000000000000000"/>
  </w:font>
  <w:font w:name="幼圆">
    <w:panose1 w:val="02010509060101010101"/>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153" w:leader="none"/>
        <w:tab w:val="clear" w:pos="7143" w:leader="none"/>
        <w:tab w:val="right" w:pos="8306" w:leader="none"/>
        <w:tab w:val="clear" w:pos="14287" w:leader="none"/>
      </w:tabs>
      <w:rPr>
        <w:b/>
        <w:i/>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153" w:leader="none"/>
        <w:tab w:val="clear" w:pos="7143" w:leader="none"/>
        <w:tab w:val="right" w:pos="8306" w:leader="none"/>
        <w:tab w:val="clear" w:pos="14287" w:leader="none"/>
      </w:tabs>
      <w:rPr>
        <w:b/>
        <w:i/>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left="328"/>
      <w:spacing w:line="413" w:lineRule="exact"/>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both"/>
      <w:tabs>
        <w:tab w:val="center" w:pos="4153" w:leader="none"/>
        <w:tab w:val="clear" w:pos="7143" w:leader="none"/>
        <w:tab w:val="right" w:pos="8306" w:leader="none"/>
        <w:tab w:val="clear" w:pos="14287" w:leader="none"/>
      </w:tabs>
      <w:rPr>
        <w:rFonts w:hint="eastAsia" w:eastAsia="宋体"/>
        <w:lang w:val="en-US" w:eastAsia="zh-CN"/>
      </w:rPr>
      <w:pBdr>
        <w:bottom w:val="none" w:color="auto" w:sz="0" w:space="1"/>
      </w:pBdr>
    </w:pPr>
    <w:r>
      <w:rPr>
        <w:rFonts w:hint="eastAsia"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5" w:default="1">
    <w:name w:val="Normal"/>
    <w:link w:val="1127"/>
    <w:uiPriority w:val="0"/>
    <w:qFormat/>
    <w:pPr>
      <w:ind w:firstLine="420"/>
      <w:spacing w:line="360" w:lineRule="auto"/>
      <w:widowControl w:val="off"/>
    </w:pPr>
    <w:rPr>
      <w:rFonts w:hint="default" w:ascii="宋体" w:hAnsi="宋体" w:eastAsia="宋体" w:cs="宋体"/>
      <w:color w:val="000000"/>
      <w:sz w:val="22"/>
      <w:szCs w:val="21"/>
      <w:lang w:val="en-US" w:eastAsia="zh-CN" w:bidi="ar-SA"/>
    </w:rPr>
  </w:style>
  <w:style w:type="paragraph" w:styleId="926">
    <w:name w:val="Heading 1"/>
    <w:basedOn w:val="925"/>
    <w:next w:val="925"/>
    <w:link w:val="970"/>
    <w:uiPriority w:val="9"/>
    <w:qFormat/>
    <w:pPr>
      <w:keepLines/>
      <w:keepNext/>
      <w:spacing w:before="480" w:after="200"/>
      <w:outlineLvl w:val="0"/>
    </w:pPr>
    <w:rPr>
      <w:rFonts w:ascii="Arial" w:hAnsi="Arial" w:eastAsia="Arial" w:cs="Arial"/>
      <w:sz w:val="40"/>
      <w:szCs w:val="40"/>
    </w:rPr>
  </w:style>
  <w:style w:type="paragraph" w:styleId="927">
    <w:name w:val="Heading 2"/>
    <w:basedOn w:val="925"/>
    <w:next w:val="925"/>
    <w:link w:val="971"/>
    <w:uiPriority w:val="9"/>
    <w:unhideWhenUsed/>
    <w:qFormat/>
    <w:pPr>
      <w:keepLines/>
      <w:keepNext/>
      <w:spacing w:before="360" w:after="200"/>
      <w:outlineLvl w:val="1"/>
    </w:pPr>
    <w:rPr>
      <w:rFonts w:ascii="Arial" w:hAnsi="Arial" w:eastAsia="Arial" w:cs="Arial"/>
      <w:sz w:val="34"/>
    </w:rPr>
  </w:style>
  <w:style w:type="paragraph" w:styleId="928">
    <w:name w:val="Heading 3"/>
    <w:basedOn w:val="925"/>
    <w:next w:val="925"/>
    <w:link w:val="972"/>
    <w:uiPriority w:val="9"/>
    <w:unhideWhenUsed/>
    <w:qFormat/>
    <w:pPr>
      <w:keepLines/>
      <w:keepNext/>
      <w:spacing w:before="320" w:after="200"/>
      <w:outlineLvl w:val="2"/>
    </w:pPr>
    <w:rPr>
      <w:rFonts w:ascii="Arial" w:hAnsi="Arial" w:eastAsia="Arial" w:cs="Arial"/>
      <w:sz w:val="30"/>
      <w:szCs w:val="30"/>
    </w:rPr>
  </w:style>
  <w:style w:type="paragraph" w:styleId="929">
    <w:name w:val="Heading 4"/>
    <w:basedOn w:val="925"/>
    <w:next w:val="925"/>
    <w:link w:val="973"/>
    <w:uiPriority w:val="9"/>
    <w:unhideWhenUsed/>
    <w:qFormat/>
    <w:pPr>
      <w:keepLines/>
      <w:keepNext/>
      <w:spacing w:before="320" w:after="200"/>
      <w:outlineLvl w:val="3"/>
    </w:pPr>
    <w:rPr>
      <w:rFonts w:ascii="Arial" w:hAnsi="Arial" w:eastAsia="Arial" w:cs="Arial"/>
      <w:b/>
      <w:bCs/>
      <w:sz w:val="26"/>
      <w:szCs w:val="26"/>
    </w:rPr>
  </w:style>
  <w:style w:type="paragraph" w:styleId="930">
    <w:name w:val="Heading 5"/>
    <w:basedOn w:val="925"/>
    <w:next w:val="925"/>
    <w:link w:val="974"/>
    <w:uiPriority w:val="9"/>
    <w:unhideWhenUsed/>
    <w:qFormat/>
    <w:pPr>
      <w:keepLines/>
      <w:keepNext/>
      <w:spacing w:before="320" w:after="200"/>
      <w:outlineLvl w:val="4"/>
    </w:pPr>
    <w:rPr>
      <w:rFonts w:ascii="Arial" w:hAnsi="Arial" w:eastAsia="Arial" w:cs="Arial"/>
      <w:b/>
      <w:bCs/>
      <w:sz w:val="24"/>
      <w:szCs w:val="24"/>
    </w:rPr>
  </w:style>
  <w:style w:type="paragraph" w:styleId="931">
    <w:name w:val="Heading 6"/>
    <w:basedOn w:val="925"/>
    <w:next w:val="925"/>
    <w:link w:val="975"/>
    <w:uiPriority w:val="9"/>
    <w:unhideWhenUsed/>
    <w:qFormat/>
    <w:pPr>
      <w:keepLines/>
      <w:keepNext/>
      <w:spacing w:before="320" w:after="200"/>
      <w:outlineLvl w:val="5"/>
    </w:pPr>
    <w:rPr>
      <w:rFonts w:ascii="Arial" w:hAnsi="Arial" w:eastAsia="Arial" w:cs="Arial"/>
      <w:b/>
      <w:bCs/>
      <w:sz w:val="22"/>
      <w:szCs w:val="22"/>
    </w:rPr>
  </w:style>
  <w:style w:type="paragraph" w:styleId="932">
    <w:name w:val="Heading 7"/>
    <w:basedOn w:val="925"/>
    <w:next w:val="925"/>
    <w:link w:val="976"/>
    <w:uiPriority w:val="9"/>
    <w:unhideWhenUsed/>
    <w:qFormat/>
    <w:pPr>
      <w:keepLines/>
      <w:keepNext/>
      <w:spacing w:before="320" w:after="200"/>
      <w:outlineLvl w:val="6"/>
    </w:pPr>
    <w:rPr>
      <w:rFonts w:ascii="Arial" w:hAnsi="Arial" w:eastAsia="Arial" w:cs="Arial"/>
      <w:b/>
      <w:bCs/>
      <w:i/>
      <w:iCs/>
      <w:sz w:val="22"/>
      <w:szCs w:val="22"/>
    </w:rPr>
  </w:style>
  <w:style w:type="paragraph" w:styleId="933">
    <w:name w:val="Heading 8"/>
    <w:basedOn w:val="925"/>
    <w:next w:val="925"/>
    <w:link w:val="977"/>
    <w:uiPriority w:val="9"/>
    <w:unhideWhenUsed/>
    <w:qFormat/>
    <w:pPr>
      <w:keepLines/>
      <w:keepNext/>
      <w:spacing w:before="320" w:after="200"/>
      <w:outlineLvl w:val="7"/>
    </w:pPr>
    <w:rPr>
      <w:rFonts w:ascii="Arial" w:hAnsi="Arial" w:eastAsia="Arial" w:cs="Arial"/>
      <w:i/>
      <w:iCs/>
      <w:sz w:val="22"/>
      <w:szCs w:val="22"/>
    </w:rPr>
  </w:style>
  <w:style w:type="paragraph" w:styleId="934">
    <w:name w:val="Heading 9"/>
    <w:basedOn w:val="925"/>
    <w:next w:val="925"/>
    <w:link w:val="978"/>
    <w:uiPriority w:val="9"/>
    <w:unhideWhenUsed/>
    <w:qFormat/>
    <w:pPr>
      <w:keepLines/>
      <w:keepNext/>
      <w:spacing w:before="320" w:after="200"/>
      <w:outlineLvl w:val="8"/>
    </w:pPr>
    <w:rPr>
      <w:rFonts w:ascii="Arial" w:hAnsi="Arial" w:eastAsia="Arial" w:cs="Arial"/>
      <w:i/>
      <w:iCs/>
      <w:sz w:val="21"/>
      <w:szCs w:val="21"/>
    </w:rPr>
  </w:style>
  <w:style w:type="character" w:styleId="935" w:default="1">
    <w:name w:val="Default Paragraph Font"/>
    <w:uiPriority w:val="0"/>
    <w:semiHidden/>
    <w:qFormat/>
  </w:style>
  <w:style w:type="table" w:styleId="936" w:default="1">
    <w:name w:val="Normal Table"/>
    <w:uiPriority w:val="0"/>
    <w:semiHidden/>
    <w:qFormat/>
    <w:tblPr>
      <w:tblCellMar>
        <w:left w:w="108" w:type="dxa"/>
        <w:top w:w="0" w:type="dxa"/>
        <w:right w:w="108" w:type="dxa"/>
        <w:bottom w:w="0" w:type="dxa"/>
      </w:tblCellMar>
    </w:tblPr>
  </w:style>
  <w:style w:type="paragraph" w:styleId="937">
    <w:name w:val="toc 7"/>
    <w:basedOn w:val="925"/>
    <w:next w:val="925"/>
    <w:uiPriority w:val="39"/>
    <w:unhideWhenUsed/>
    <w:qFormat/>
    <w:pPr>
      <w:ind w:left="1701" w:right="0" w:firstLine="0"/>
      <w:spacing w:after="57"/>
    </w:pPr>
  </w:style>
  <w:style w:type="paragraph" w:styleId="938">
    <w:name w:val="Caption"/>
    <w:basedOn w:val="925"/>
    <w:next w:val="92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39">
    <w:name w:val="annotation text"/>
    <w:basedOn w:val="925"/>
    <w:uiPriority w:val="0"/>
    <w:qFormat/>
    <w:pPr>
      <w:jc w:val="left"/>
    </w:pPr>
  </w:style>
  <w:style w:type="paragraph" w:styleId="940">
    <w:name w:val="Body Text"/>
    <w:basedOn w:val="925"/>
    <w:uiPriority w:val="99"/>
    <w:qFormat/>
    <w:rPr>
      <w:rFonts w:ascii="楷体_GB2312" w:hAnsi="Arial" w:eastAsia="楷体_GB2312"/>
      <w:sz w:val="28"/>
      <w:szCs w:val="28"/>
    </w:rPr>
  </w:style>
  <w:style w:type="paragraph" w:styleId="941">
    <w:name w:val="Body Text Indent"/>
    <w:basedOn w:val="925"/>
    <w:next w:val="925"/>
    <w:uiPriority w:val="99"/>
    <w:qFormat/>
    <w:pPr>
      <w:ind w:firstLine="645"/>
    </w:pPr>
    <w:rPr>
      <w:rFonts w:ascii="KaiTi_GB2312" w:eastAsia="KaiTi_GB2312"/>
      <w:sz w:val="32"/>
      <w:szCs w:val="32"/>
    </w:rPr>
  </w:style>
  <w:style w:type="paragraph" w:styleId="942">
    <w:name w:val="toc 5"/>
    <w:basedOn w:val="925"/>
    <w:next w:val="925"/>
    <w:uiPriority w:val="39"/>
    <w:unhideWhenUsed/>
    <w:qFormat/>
    <w:pPr>
      <w:ind w:left="1134" w:right="0" w:firstLine="0"/>
      <w:spacing w:after="57"/>
    </w:pPr>
  </w:style>
  <w:style w:type="paragraph" w:styleId="943">
    <w:name w:val="toc 3"/>
    <w:basedOn w:val="925"/>
    <w:next w:val="925"/>
    <w:uiPriority w:val="39"/>
    <w:unhideWhenUsed/>
    <w:qFormat/>
    <w:pPr>
      <w:ind w:left="567" w:right="0" w:firstLine="0"/>
      <w:spacing w:after="57"/>
    </w:pPr>
  </w:style>
  <w:style w:type="paragraph" w:styleId="944">
    <w:name w:val="Plain Text"/>
    <w:basedOn w:val="925"/>
    <w:next w:val="925"/>
    <w:uiPriority w:val="0"/>
    <w:qFormat/>
    <w:rPr>
      <w:rFonts w:ascii="宋体" w:hAnsi="Courier New" w:cs="Courier New"/>
    </w:rPr>
  </w:style>
  <w:style w:type="paragraph" w:styleId="945">
    <w:name w:val="toc 8"/>
    <w:basedOn w:val="925"/>
    <w:next w:val="925"/>
    <w:uiPriority w:val="39"/>
    <w:unhideWhenUsed/>
    <w:qFormat/>
    <w:pPr>
      <w:ind w:left="1984" w:right="0" w:firstLine="0"/>
      <w:spacing w:after="57"/>
    </w:pPr>
  </w:style>
  <w:style w:type="paragraph" w:styleId="946">
    <w:name w:val="Body Text Indent 2"/>
    <w:basedOn w:val="925"/>
    <w:uiPriority w:val="0"/>
    <w:qFormat/>
    <w:pPr>
      <w:ind w:firstLine="525"/>
      <w:spacing w:line="420" w:lineRule="exact"/>
    </w:pPr>
    <w:rPr>
      <w:rFonts w:ascii="宋体" w:hAnsi="Times New Roman"/>
      <w:szCs w:val="20"/>
    </w:rPr>
  </w:style>
  <w:style w:type="paragraph" w:styleId="947">
    <w:name w:val="endnote text"/>
    <w:basedOn w:val="925"/>
    <w:link w:val="1116"/>
    <w:uiPriority w:val="99"/>
    <w:semiHidden/>
    <w:unhideWhenUsed/>
    <w:qFormat/>
    <w:pPr>
      <w:spacing w:after="0" w:line="240" w:lineRule="auto"/>
    </w:pPr>
    <w:rPr>
      <w:sz w:val="20"/>
    </w:rPr>
  </w:style>
  <w:style w:type="paragraph" w:styleId="948">
    <w:name w:val="Footer"/>
    <w:basedOn w:val="925"/>
    <w:uiPriority w:val="99"/>
    <w:unhideWhenUsed/>
    <w:qFormat/>
    <w:pPr>
      <w:spacing w:after="0" w:line="240" w:lineRule="auto"/>
      <w:tabs>
        <w:tab w:val="center" w:pos="7143" w:leader="none"/>
        <w:tab w:val="right" w:pos="14287" w:leader="none"/>
      </w:tabs>
    </w:pPr>
  </w:style>
  <w:style w:type="paragraph" w:styleId="949">
    <w:name w:val="envelope return"/>
    <w:basedOn w:val="925"/>
    <w:uiPriority w:val="0"/>
    <w:qFormat/>
    <w:rPr>
      <w:rFonts w:ascii="Arial" w:hAnsi="Arial" w:eastAsia="宋体" w:cs="Times New Roman"/>
    </w:rPr>
  </w:style>
  <w:style w:type="paragraph" w:styleId="950">
    <w:name w:val="Header"/>
    <w:basedOn w:val="925"/>
    <w:uiPriority w:val="99"/>
    <w:unhideWhenUsed/>
    <w:qFormat/>
    <w:pPr>
      <w:spacing w:after="0" w:line="240" w:lineRule="auto"/>
      <w:tabs>
        <w:tab w:val="center" w:pos="7143" w:leader="none"/>
        <w:tab w:val="right" w:pos="14287" w:leader="none"/>
      </w:tabs>
    </w:pPr>
  </w:style>
  <w:style w:type="paragraph" w:styleId="951">
    <w:name w:val="toc 1"/>
    <w:basedOn w:val="925"/>
    <w:next w:val="925"/>
    <w:uiPriority w:val="39"/>
    <w:unhideWhenUsed/>
    <w:qFormat/>
    <w:pPr>
      <w:ind w:left="0" w:right="0" w:firstLine="0"/>
      <w:spacing w:after="57"/>
    </w:pPr>
  </w:style>
  <w:style w:type="paragraph" w:styleId="952">
    <w:name w:val="toc 4"/>
    <w:basedOn w:val="925"/>
    <w:next w:val="925"/>
    <w:uiPriority w:val="39"/>
    <w:unhideWhenUsed/>
    <w:qFormat/>
    <w:pPr>
      <w:ind w:left="850" w:right="0" w:firstLine="0"/>
      <w:spacing w:after="57"/>
    </w:pPr>
  </w:style>
  <w:style w:type="paragraph" w:styleId="953">
    <w:name w:val="Subtitle"/>
    <w:basedOn w:val="925"/>
    <w:next w:val="925"/>
    <w:link w:val="982"/>
    <w:uiPriority w:val="11"/>
    <w:qFormat/>
    <w:pPr>
      <w:spacing w:before="200" w:after="200"/>
    </w:pPr>
    <w:rPr>
      <w:sz w:val="24"/>
      <w:szCs w:val="24"/>
    </w:rPr>
  </w:style>
  <w:style w:type="paragraph" w:styleId="954">
    <w:name w:val="footnote text"/>
    <w:basedOn w:val="925"/>
    <w:link w:val="1115"/>
    <w:uiPriority w:val="99"/>
    <w:semiHidden/>
    <w:unhideWhenUsed/>
    <w:qFormat/>
    <w:pPr>
      <w:spacing w:after="40" w:line="240" w:lineRule="auto"/>
    </w:pPr>
    <w:rPr>
      <w:sz w:val="18"/>
    </w:rPr>
  </w:style>
  <w:style w:type="paragraph" w:styleId="955">
    <w:name w:val="toc 6"/>
    <w:basedOn w:val="925"/>
    <w:next w:val="925"/>
    <w:uiPriority w:val="39"/>
    <w:unhideWhenUsed/>
    <w:qFormat/>
    <w:pPr>
      <w:ind w:left="1417" w:right="0" w:firstLine="0"/>
      <w:spacing w:after="57"/>
    </w:pPr>
  </w:style>
  <w:style w:type="paragraph" w:styleId="956">
    <w:name w:val="table of figures"/>
    <w:basedOn w:val="925"/>
    <w:next w:val="925"/>
    <w:uiPriority w:val="99"/>
    <w:unhideWhenUsed/>
    <w:qFormat/>
    <w:pPr>
      <w:spacing w:after="0" w:afterAutospacing="0"/>
    </w:pPr>
  </w:style>
  <w:style w:type="paragraph" w:styleId="957">
    <w:name w:val="toc 2"/>
    <w:basedOn w:val="925"/>
    <w:next w:val="925"/>
    <w:uiPriority w:val="39"/>
    <w:unhideWhenUsed/>
    <w:qFormat/>
    <w:pPr>
      <w:ind w:left="283" w:right="0" w:firstLine="0"/>
      <w:spacing w:after="57"/>
    </w:pPr>
  </w:style>
  <w:style w:type="paragraph" w:styleId="958">
    <w:name w:val="toc 9"/>
    <w:basedOn w:val="925"/>
    <w:next w:val="925"/>
    <w:uiPriority w:val="39"/>
    <w:unhideWhenUsed/>
    <w:qFormat/>
    <w:pPr>
      <w:ind w:left="2268" w:right="0" w:firstLine="0"/>
      <w:spacing w:after="57"/>
    </w:pPr>
  </w:style>
  <w:style w:type="paragraph" w:styleId="959">
    <w:name w:val="Normal (Web)"/>
    <w:basedOn w:val="925"/>
    <w:uiPriority w:val="0"/>
    <w:qFormat/>
    <w:pPr>
      <w:jc w:val="left"/>
      <w:spacing w:beforeAutospacing="1" w:afterAutospacing="1"/>
    </w:pPr>
    <w:rPr>
      <w:rFonts w:cs="Times New Roman"/>
      <w:sz w:val="24"/>
    </w:rPr>
  </w:style>
  <w:style w:type="paragraph" w:styleId="960">
    <w:name w:val="Title"/>
    <w:basedOn w:val="925"/>
    <w:next w:val="925"/>
    <w:link w:val="981"/>
    <w:uiPriority w:val="10"/>
    <w:qFormat/>
    <w:pPr>
      <w:contextualSpacing/>
      <w:spacing w:before="300" w:after="200"/>
    </w:pPr>
    <w:rPr>
      <w:sz w:val="48"/>
      <w:szCs w:val="48"/>
    </w:rPr>
  </w:style>
  <w:style w:type="paragraph" w:styleId="961">
    <w:name w:val="Body Text First Indent"/>
    <w:basedOn w:val="925"/>
    <w:uiPriority w:val="99"/>
    <w:qFormat/>
    <w:pPr>
      <w:ind w:firstLine="200"/>
      <w:spacing w:line="360" w:lineRule="auto"/>
    </w:pPr>
    <w:rPr>
      <w:rFonts w:ascii="仿宋_GB2312" w:eastAsia="仿宋_GB2312"/>
      <w:sz w:val="30"/>
      <w:szCs w:val="30"/>
    </w:rPr>
  </w:style>
  <w:style w:type="paragraph" w:styleId="962">
    <w:name w:val="Body Text First Indent 2"/>
    <w:basedOn w:val="941"/>
    <w:next w:val="963"/>
    <w:uiPriority w:val="99"/>
    <w:qFormat/>
    <w:pPr>
      <w:ind w:firstLine="420"/>
      <w:spacing w:line="360" w:lineRule="auto"/>
    </w:pPr>
    <w:rPr>
      <w:rFonts w:ascii="宋体" w:hAnsi="宋体" w:eastAsia="宋体"/>
      <w:sz w:val="21"/>
      <w:szCs w:val="20"/>
    </w:rPr>
  </w:style>
  <w:style w:type="paragraph" w:styleId="963" w:customStyle="1">
    <w:name w:val="样式 正文首行缩进 2 + Arial"/>
    <w:basedOn w:val="925"/>
    <w:next w:val="925"/>
    <w:uiPriority w:val="0"/>
    <w:qFormat/>
    <w:pPr>
      <w:ind w:firstLine="200"/>
      <w:spacing w:line="320" w:lineRule="atLeast"/>
    </w:pPr>
    <w:rPr>
      <w:rFonts w:ascii="Arial" w:hAnsi="Arial"/>
    </w:rPr>
  </w:style>
  <w:style w:type="table" w:styleId="964">
    <w:name w:val="Table Grid"/>
    <w:basedOn w:val="9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5">
    <w:name w:val="endnote reference"/>
    <w:basedOn w:val="935"/>
    <w:uiPriority w:val="99"/>
    <w:semiHidden/>
    <w:unhideWhenUsed/>
    <w:qFormat/>
    <w:rPr>
      <w:vertAlign w:val="superscript"/>
    </w:rPr>
  </w:style>
  <w:style w:type="character" w:styleId="966">
    <w:name w:val="page number"/>
    <w:uiPriority w:val="0"/>
    <w:qFormat/>
  </w:style>
  <w:style w:type="character" w:styleId="967">
    <w:name w:val="Hyperlink"/>
    <w:uiPriority w:val="99"/>
    <w:unhideWhenUsed/>
    <w:qFormat/>
    <w:rPr>
      <w:color w:val="0026e5" w:themeColor="hyperlink"/>
      <w:u w:val="single"/>
      <w14:textFill>
        <w14:solidFill>
          <w14:schemeClr w14:val="hlink"/>
        </w14:solidFill>
      </w14:textFill>
    </w:rPr>
  </w:style>
  <w:style w:type="character" w:styleId="968">
    <w:name w:val="footnote reference"/>
    <w:basedOn w:val="935"/>
    <w:uiPriority w:val="99"/>
    <w:unhideWhenUsed/>
    <w:qFormat/>
    <w:rPr>
      <w:vertAlign w:val="superscript"/>
    </w:rPr>
  </w:style>
  <w:style w:type="paragraph" w:styleId="969" w:customStyle="1">
    <w:name w:val="Default"/>
    <w:uiPriority w:val="0"/>
    <w:qFormat/>
    <w:pPr>
      <w:jc w:val="both"/>
      <w:spacing w:after="200" w:line="276" w:lineRule="auto"/>
      <w:widowControl w:val="off"/>
    </w:pPr>
    <w:rPr>
      <w:rFonts w:hint="default" w:ascii="仿宋_GB2312" w:hAnsi="Times New Roman" w:eastAsia="仿宋_GB2312" w:cs="仿宋_GB2312"/>
      <w:color w:val="000000"/>
      <w:sz w:val="24"/>
      <w:szCs w:val="24"/>
      <w:lang w:val="en-US" w:eastAsia="zh-CN" w:bidi="ar-SA"/>
    </w:rPr>
  </w:style>
  <w:style w:type="character" w:styleId="970" w:customStyle="1">
    <w:name w:val="Heading 1 Char"/>
    <w:basedOn w:val="935"/>
    <w:link w:val="926"/>
    <w:uiPriority w:val="9"/>
    <w:qFormat/>
    <w:rPr>
      <w:rFonts w:ascii="Arial" w:hAnsi="Arial" w:eastAsia="Arial" w:cs="Arial"/>
      <w:sz w:val="40"/>
      <w:szCs w:val="40"/>
    </w:rPr>
  </w:style>
  <w:style w:type="character" w:styleId="971" w:customStyle="1">
    <w:name w:val="Heading 2 Char"/>
    <w:basedOn w:val="935"/>
    <w:link w:val="927"/>
    <w:uiPriority w:val="9"/>
    <w:qFormat/>
    <w:rPr>
      <w:rFonts w:ascii="Arial" w:hAnsi="Arial" w:eastAsia="Arial" w:cs="Arial"/>
      <w:sz w:val="34"/>
    </w:rPr>
  </w:style>
  <w:style w:type="character" w:styleId="972" w:customStyle="1">
    <w:name w:val="Heading 3 Char"/>
    <w:basedOn w:val="935"/>
    <w:link w:val="928"/>
    <w:uiPriority w:val="9"/>
    <w:qFormat/>
    <w:rPr>
      <w:rFonts w:ascii="Arial" w:hAnsi="Arial" w:eastAsia="Arial" w:cs="Arial"/>
      <w:sz w:val="30"/>
      <w:szCs w:val="30"/>
    </w:rPr>
  </w:style>
  <w:style w:type="character" w:styleId="973" w:customStyle="1">
    <w:name w:val="Heading 4 Char"/>
    <w:basedOn w:val="935"/>
    <w:link w:val="929"/>
    <w:uiPriority w:val="9"/>
    <w:qFormat/>
    <w:rPr>
      <w:rFonts w:ascii="Arial" w:hAnsi="Arial" w:eastAsia="Arial" w:cs="Arial"/>
      <w:b/>
      <w:bCs/>
      <w:sz w:val="26"/>
      <w:szCs w:val="26"/>
    </w:rPr>
  </w:style>
  <w:style w:type="character" w:styleId="974" w:customStyle="1">
    <w:name w:val="Heading 5 Char"/>
    <w:basedOn w:val="935"/>
    <w:link w:val="930"/>
    <w:uiPriority w:val="9"/>
    <w:qFormat/>
    <w:rPr>
      <w:rFonts w:ascii="Arial" w:hAnsi="Arial" w:eastAsia="Arial" w:cs="Arial"/>
      <w:b/>
      <w:bCs/>
      <w:sz w:val="24"/>
      <w:szCs w:val="24"/>
    </w:rPr>
  </w:style>
  <w:style w:type="character" w:styleId="975" w:customStyle="1">
    <w:name w:val="Heading 6 Char"/>
    <w:basedOn w:val="935"/>
    <w:link w:val="931"/>
    <w:uiPriority w:val="9"/>
    <w:qFormat/>
    <w:rPr>
      <w:rFonts w:ascii="Arial" w:hAnsi="Arial" w:eastAsia="Arial" w:cs="Arial"/>
      <w:b/>
      <w:bCs/>
      <w:sz w:val="22"/>
      <w:szCs w:val="22"/>
    </w:rPr>
  </w:style>
  <w:style w:type="character" w:styleId="976" w:customStyle="1">
    <w:name w:val="Heading 7 Char"/>
    <w:basedOn w:val="935"/>
    <w:link w:val="932"/>
    <w:uiPriority w:val="9"/>
    <w:qFormat/>
    <w:rPr>
      <w:rFonts w:ascii="Arial" w:hAnsi="Arial" w:eastAsia="Arial" w:cs="Arial"/>
      <w:b/>
      <w:bCs/>
      <w:i/>
      <w:iCs/>
      <w:sz w:val="22"/>
      <w:szCs w:val="22"/>
    </w:rPr>
  </w:style>
  <w:style w:type="character" w:styleId="977" w:customStyle="1">
    <w:name w:val="Heading 8 Char"/>
    <w:basedOn w:val="935"/>
    <w:link w:val="933"/>
    <w:uiPriority w:val="9"/>
    <w:qFormat/>
    <w:rPr>
      <w:rFonts w:ascii="Arial" w:hAnsi="Arial" w:eastAsia="Arial" w:cs="Arial"/>
      <w:i/>
      <w:iCs/>
      <w:sz w:val="22"/>
      <w:szCs w:val="22"/>
    </w:rPr>
  </w:style>
  <w:style w:type="character" w:styleId="978" w:customStyle="1">
    <w:name w:val="Heading 9 Char"/>
    <w:basedOn w:val="935"/>
    <w:link w:val="934"/>
    <w:uiPriority w:val="9"/>
    <w:qFormat/>
    <w:rPr>
      <w:rFonts w:ascii="Arial" w:hAnsi="Arial" w:eastAsia="Arial" w:cs="Arial"/>
      <w:i/>
      <w:iCs/>
      <w:sz w:val="21"/>
      <w:szCs w:val="21"/>
    </w:rPr>
  </w:style>
  <w:style w:type="paragraph" w:styleId="979">
    <w:name w:val="List Paragraph"/>
    <w:basedOn w:val="925"/>
    <w:uiPriority w:val="34"/>
    <w:qFormat/>
    <w:pPr>
      <w:contextualSpacing/>
      <w:ind w:left="720"/>
    </w:pPr>
  </w:style>
  <w:style w:type="paragraph" w:styleId="980">
    <w:name w:val="No Spacing"/>
    <w:uiPriority w:val="1"/>
    <w:qFormat/>
    <w:pPr>
      <w:spacing w:before="0" w:after="0" w:line="240" w:lineRule="auto"/>
    </w:pPr>
    <w:rPr>
      <w:rFonts w:hint="default" w:ascii="Times New Roman" w:hAnsi="Times New Roman" w:eastAsia="宋体" w:cs="Times New Roman"/>
    </w:rPr>
  </w:style>
  <w:style w:type="character" w:styleId="981" w:customStyle="1">
    <w:name w:val="Title Char"/>
    <w:basedOn w:val="935"/>
    <w:link w:val="960"/>
    <w:uiPriority w:val="10"/>
    <w:qFormat/>
    <w:rPr>
      <w:sz w:val="48"/>
      <w:szCs w:val="48"/>
    </w:rPr>
  </w:style>
  <w:style w:type="character" w:styleId="982" w:customStyle="1">
    <w:name w:val="Subtitle Char"/>
    <w:basedOn w:val="935"/>
    <w:link w:val="953"/>
    <w:uiPriority w:val="11"/>
    <w:qFormat/>
    <w:rPr>
      <w:sz w:val="24"/>
      <w:szCs w:val="24"/>
    </w:rPr>
  </w:style>
  <w:style w:type="paragraph" w:styleId="983">
    <w:name w:val="Quote"/>
    <w:basedOn w:val="925"/>
    <w:next w:val="925"/>
    <w:link w:val="984"/>
    <w:uiPriority w:val="29"/>
    <w:qFormat/>
    <w:pPr>
      <w:ind w:left="720" w:right="720"/>
    </w:pPr>
    <w:rPr>
      <w:i/>
    </w:rPr>
  </w:style>
  <w:style w:type="character" w:styleId="984" w:customStyle="1">
    <w:name w:val="Quote Char"/>
    <w:link w:val="983"/>
    <w:uiPriority w:val="29"/>
    <w:qFormat/>
    <w:rPr>
      <w:i/>
    </w:rPr>
  </w:style>
  <w:style w:type="paragraph" w:styleId="985">
    <w:name w:val="Intense Quote"/>
    <w:basedOn w:val="925"/>
    <w:next w:val="925"/>
    <w:link w:val="9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6" w:customStyle="1">
    <w:name w:val="Intense Quote Char"/>
    <w:link w:val="985"/>
    <w:uiPriority w:val="30"/>
    <w:qFormat/>
    <w:rPr>
      <w:i/>
    </w:rPr>
  </w:style>
  <w:style w:type="character" w:styleId="987" w:customStyle="1">
    <w:name w:val="Header Char"/>
    <w:basedOn w:val="935"/>
    <w:uiPriority w:val="99"/>
    <w:qFormat/>
  </w:style>
  <w:style w:type="character" w:styleId="988" w:customStyle="1">
    <w:name w:val="Footer Char"/>
    <w:basedOn w:val="935"/>
    <w:uiPriority w:val="99"/>
    <w:qFormat/>
  </w:style>
  <w:style w:type="character" w:styleId="989" w:customStyle="1">
    <w:name w:val="Caption Char"/>
    <w:uiPriority w:val="99"/>
    <w:qFormat/>
  </w:style>
  <w:style w:type="table" w:styleId="990" w:customStyle="1">
    <w:name w:val="Table Grid Light"/>
    <w:basedOn w:val="9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1" w:customStyle="1">
    <w:name w:val="Plain Table 1"/>
    <w:basedOn w:val="9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2" w:customStyle="1">
    <w:name w:val="Plain Table 2"/>
    <w:basedOn w:val="9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3" w:customStyle="1">
    <w:name w:val="Plain Table 3"/>
    <w:basedOn w:val="9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4" w:customStyle="1">
    <w:name w:val="Plain Table 4"/>
    <w:basedOn w:val="9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5" w:customStyle="1">
    <w:name w:val="Plain Table 5"/>
    <w:basedOn w:val="9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6" w:customStyle="1">
    <w:name w:val="Grid Table 1 Light"/>
    <w:basedOn w:val="9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1"/>
    <w:basedOn w:val="93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2"/>
    <w:basedOn w:val="93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3"/>
    <w:basedOn w:val="93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4"/>
    <w:basedOn w:val="93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5"/>
    <w:basedOn w:val="93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6"/>
    <w:basedOn w:val="93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03" w:customStyle="1">
    <w:name w:val="Grid Table 2"/>
    <w:basedOn w:val="9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4" w:customStyle="1">
    <w:name w:val="Grid Table 2 - Accent 1"/>
    <w:basedOn w:val="93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05" w:customStyle="1">
    <w:name w:val="Grid Table 2 - Accent 2"/>
    <w:basedOn w:val="93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06" w:customStyle="1">
    <w:name w:val="Grid Table 2 - Accent 3"/>
    <w:basedOn w:val="93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07" w:customStyle="1">
    <w:name w:val="Grid Table 2 - Accent 4"/>
    <w:basedOn w:val="93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08" w:customStyle="1">
    <w:name w:val="Grid Table 2 - Accent 5"/>
    <w:basedOn w:val="93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09" w:customStyle="1">
    <w:name w:val="Grid Table 2 - Accent 6"/>
    <w:basedOn w:val="93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10" w:customStyle="1">
    <w:name w:val="Grid Table 3"/>
    <w:basedOn w:val="9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1"/>
    <w:basedOn w:val="93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2"/>
    <w:basedOn w:val="93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3"/>
    <w:basedOn w:val="93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4"/>
    <w:basedOn w:val="93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5"/>
    <w:basedOn w:val="93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6"/>
    <w:basedOn w:val="93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4"/>
    <w:basedOn w:val="9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8" w:customStyle="1">
    <w:name w:val="Grid Table 4 - Accent 1"/>
    <w:basedOn w:val="93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19" w:customStyle="1">
    <w:name w:val="Grid Table 4 - Accent 2"/>
    <w:basedOn w:val="93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20" w:customStyle="1">
    <w:name w:val="Grid Table 4 - Accent 3"/>
    <w:basedOn w:val="93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21" w:customStyle="1">
    <w:name w:val="Grid Table 4 - Accent 4"/>
    <w:basedOn w:val="93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22" w:customStyle="1">
    <w:name w:val="Grid Table 4 - Accent 5"/>
    <w:basedOn w:val="93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23" w:customStyle="1">
    <w:name w:val="Grid Table 4 - Accent 6"/>
    <w:basedOn w:val="93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24" w:customStyle="1">
    <w:name w:val="Grid Table 5 Dark"/>
    <w:basedOn w:val="9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5" w:customStyle="1">
    <w:name w:val="Grid Table 5 Dark- Accent 1"/>
    <w:basedOn w:val="9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26" w:customStyle="1">
    <w:name w:val="Grid Table 5 Dark - Accent 2"/>
    <w:basedOn w:val="9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27" w:customStyle="1">
    <w:name w:val="Grid Table 5 Dark - Accent 3"/>
    <w:basedOn w:val="9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28" w:customStyle="1">
    <w:name w:val="Grid Table 5 Dark- Accent 4"/>
    <w:basedOn w:val="9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29" w:customStyle="1">
    <w:name w:val="Grid Table 5 Dark - Accent 5"/>
    <w:basedOn w:val="9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30" w:customStyle="1">
    <w:name w:val="Grid Table 5 Dark - Accent 6"/>
    <w:basedOn w:val="9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31" w:customStyle="1">
    <w:name w:val="Grid Table 6 Colorful"/>
    <w:basedOn w:val="9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2" w:customStyle="1">
    <w:name w:val="Grid Table 6 Colorful - Accent 1"/>
    <w:basedOn w:val="93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33" w:customStyle="1">
    <w:name w:val="Grid Table 6 Colorful - Accent 2"/>
    <w:basedOn w:val="93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34" w:customStyle="1">
    <w:name w:val="Grid Table 6 Colorful - Accent 3"/>
    <w:basedOn w:val="93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35" w:customStyle="1">
    <w:name w:val="Grid Table 6 Colorful - Accent 4"/>
    <w:basedOn w:val="93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36" w:customStyle="1">
    <w:name w:val="Grid Table 6 Colorful - Accent 5"/>
    <w:basedOn w:val="93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37" w:customStyle="1">
    <w:name w:val="Grid Table 6 Colorful - Accent 6"/>
    <w:basedOn w:val="93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38" w:customStyle="1">
    <w:name w:val="Grid Table 7 Colorful"/>
    <w:basedOn w:val="9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9" w:customStyle="1">
    <w:name w:val="Grid Table 7 Colorful - Accent 1"/>
    <w:basedOn w:val="93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40" w:customStyle="1">
    <w:name w:val="Grid Table 7 Colorful - Accent 2"/>
    <w:basedOn w:val="93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41" w:customStyle="1">
    <w:name w:val="Grid Table 7 Colorful - Accent 3"/>
    <w:basedOn w:val="93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42" w:customStyle="1">
    <w:name w:val="Grid Table 7 Colorful - Accent 4"/>
    <w:basedOn w:val="93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43" w:customStyle="1">
    <w:name w:val="Grid Table 7 Colorful - Accent 5"/>
    <w:basedOn w:val="93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44" w:customStyle="1">
    <w:name w:val="Grid Table 7 Colorful - Accent 6"/>
    <w:basedOn w:val="93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45" w:customStyle="1">
    <w:name w:val="List Table 1 Light"/>
    <w:basedOn w:val="9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6" w:customStyle="1">
    <w:name w:val="List Table 1 Light - Accent 1"/>
    <w:basedOn w:val="93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47" w:customStyle="1">
    <w:name w:val="List Table 1 Light - Accent 2"/>
    <w:basedOn w:val="93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48" w:customStyle="1">
    <w:name w:val="List Table 1 Light - Accent 3"/>
    <w:basedOn w:val="93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49" w:customStyle="1">
    <w:name w:val="List Table 1 Light - Accent 4"/>
    <w:basedOn w:val="93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50" w:customStyle="1">
    <w:name w:val="List Table 1 Light - Accent 5"/>
    <w:basedOn w:val="93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51" w:customStyle="1">
    <w:name w:val="List Table 1 Light - Accent 6"/>
    <w:basedOn w:val="93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52" w:customStyle="1">
    <w:name w:val="List Table 2"/>
    <w:basedOn w:val="9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3" w:customStyle="1">
    <w:name w:val="List Table 2 - Accent 1"/>
    <w:basedOn w:val="93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54" w:customStyle="1">
    <w:name w:val="List Table 2 - Accent 2"/>
    <w:basedOn w:val="93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55" w:customStyle="1">
    <w:name w:val="List Table 2 - Accent 3"/>
    <w:basedOn w:val="93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56" w:customStyle="1">
    <w:name w:val="List Table 2 - Accent 4"/>
    <w:basedOn w:val="93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57" w:customStyle="1">
    <w:name w:val="List Table 2 - Accent 5"/>
    <w:basedOn w:val="93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58" w:customStyle="1">
    <w:name w:val="List Table 2 - Accent 6"/>
    <w:basedOn w:val="93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59" w:customStyle="1">
    <w:name w:val="List Table 3"/>
    <w:basedOn w:val="9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0" w:customStyle="1">
    <w:name w:val="List Table 3 - Accent 1"/>
    <w:basedOn w:val="93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61" w:customStyle="1">
    <w:name w:val="List Table 3 - Accent 2"/>
    <w:basedOn w:val="93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62" w:customStyle="1">
    <w:name w:val="List Table 3 - Accent 3"/>
    <w:basedOn w:val="93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63" w:customStyle="1">
    <w:name w:val="List Table 3 - Accent 4"/>
    <w:basedOn w:val="93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64" w:customStyle="1">
    <w:name w:val="List Table 3 - Accent 5"/>
    <w:basedOn w:val="93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65" w:customStyle="1">
    <w:name w:val="List Table 3 - Accent 6"/>
    <w:basedOn w:val="93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66" w:customStyle="1">
    <w:name w:val="List Table 4"/>
    <w:basedOn w:val="9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7" w:customStyle="1">
    <w:name w:val="List Table 4 - Accent 1"/>
    <w:basedOn w:val="93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68" w:customStyle="1">
    <w:name w:val="List Table 4 - Accent 2"/>
    <w:basedOn w:val="93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69" w:customStyle="1">
    <w:name w:val="List Table 4 - Accent 3"/>
    <w:basedOn w:val="93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70" w:customStyle="1">
    <w:name w:val="List Table 4 - Accent 4"/>
    <w:basedOn w:val="93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71" w:customStyle="1">
    <w:name w:val="List Table 4 - Accent 5"/>
    <w:basedOn w:val="93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72" w:customStyle="1">
    <w:name w:val="List Table 4 - Accent 6"/>
    <w:basedOn w:val="93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73" w:customStyle="1">
    <w:name w:val="List Table 5 Dark"/>
    <w:basedOn w:val="9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1"/>
    <w:basedOn w:val="93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2"/>
    <w:basedOn w:val="93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3"/>
    <w:basedOn w:val="93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4"/>
    <w:basedOn w:val="93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5"/>
    <w:basedOn w:val="93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6"/>
    <w:basedOn w:val="93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6 Colorful"/>
    <w:basedOn w:val="9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1" w:customStyle="1">
    <w:name w:val="List Table 6 Colorful - Accent 1"/>
    <w:basedOn w:val="93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82" w:customStyle="1">
    <w:name w:val="List Table 6 Colorful - Accent 2"/>
    <w:basedOn w:val="93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83" w:customStyle="1">
    <w:name w:val="List Table 6 Colorful - Accent 3"/>
    <w:basedOn w:val="93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84" w:customStyle="1">
    <w:name w:val="List Table 6 Colorful - Accent 4"/>
    <w:basedOn w:val="93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85" w:customStyle="1">
    <w:name w:val="List Table 6 Colorful - Accent 5"/>
    <w:basedOn w:val="93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86" w:customStyle="1">
    <w:name w:val="List Table 6 Colorful - Accent 6"/>
    <w:basedOn w:val="93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87" w:customStyle="1">
    <w:name w:val="List Table 7 Colorful"/>
    <w:basedOn w:val="9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8" w:customStyle="1">
    <w:name w:val="List Table 7 Colorful - Accent 1"/>
    <w:basedOn w:val="93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89" w:customStyle="1">
    <w:name w:val="List Table 7 Colorful - Accent 2"/>
    <w:basedOn w:val="93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90" w:customStyle="1">
    <w:name w:val="List Table 7 Colorful - Accent 3"/>
    <w:basedOn w:val="93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91" w:customStyle="1">
    <w:name w:val="List Table 7 Colorful - Accent 4"/>
    <w:basedOn w:val="93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92" w:customStyle="1">
    <w:name w:val="List Table 7 Colorful - Accent 5"/>
    <w:basedOn w:val="93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93" w:customStyle="1">
    <w:name w:val="List Table 7 Colorful - Accent 6"/>
    <w:basedOn w:val="93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94" w:customStyle="1">
    <w:name w:val="Lined - Accent"/>
    <w:basedOn w:val="9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5" w:customStyle="1">
    <w:name w:val="Lined - Accent 1"/>
    <w:basedOn w:val="9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96" w:customStyle="1">
    <w:name w:val="Lined - Accent 2"/>
    <w:basedOn w:val="9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97" w:customStyle="1">
    <w:name w:val="Lined - Accent 3"/>
    <w:basedOn w:val="9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98" w:customStyle="1">
    <w:name w:val="Lined - Accent 4"/>
    <w:basedOn w:val="9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99" w:customStyle="1">
    <w:name w:val="Lined - Accent 5"/>
    <w:basedOn w:val="9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00" w:customStyle="1">
    <w:name w:val="Lined - Accent 6"/>
    <w:basedOn w:val="9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01" w:customStyle="1">
    <w:name w:val="Bordered &amp; Lined - Accent"/>
    <w:basedOn w:val="93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2" w:customStyle="1">
    <w:name w:val="Bordered &amp; Lined - Accent 1"/>
    <w:basedOn w:val="93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03" w:customStyle="1">
    <w:name w:val="Bordered &amp; Lined - Accent 2"/>
    <w:basedOn w:val="93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04" w:customStyle="1">
    <w:name w:val="Bordered &amp; Lined - Accent 3"/>
    <w:basedOn w:val="93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05" w:customStyle="1">
    <w:name w:val="Bordered &amp; Lined - Accent 4"/>
    <w:basedOn w:val="93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06" w:customStyle="1">
    <w:name w:val="Bordered &amp; Lined - Accent 5"/>
    <w:basedOn w:val="93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07" w:customStyle="1">
    <w:name w:val="Bordered &amp; Lined - Accent 6"/>
    <w:basedOn w:val="93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08" w:customStyle="1">
    <w:name w:val="Bordered"/>
    <w:basedOn w:val="93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9" w:customStyle="1">
    <w:name w:val="Bordered - Accent 1"/>
    <w:basedOn w:val="93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10" w:customStyle="1">
    <w:name w:val="Bordered - Accent 2"/>
    <w:basedOn w:val="93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11" w:customStyle="1">
    <w:name w:val="Bordered - Accent 3"/>
    <w:basedOn w:val="93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12" w:customStyle="1">
    <w:name w:val="Bordered - Accent 4"/>
    <w:basedOn w:val="93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13" w:customStyle="1">
    <w:name w:val="Bordered - Accent 5"/>
    <w:basedOn w:val="93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14" w:customStyle="1">
    <w:name w:val="Bordered - Accent 6"/>
    <w:basedOn w:val="93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15" w:customStyle="1">
    <w:name w:val="Footnote Text Char"/>
    <w:link w:val="954"/>
    <w:uiPriority w:val="99"/>
    <w:qFormat/>
    <w:rPr>
      <w:sz w:val="18"/>
    </w:rPr>
  </w:style>
  <w:style w:type="character" w:styleId="1116" w:customStyle="1">
    <w:name w:val="Endnote Text Char"/>
    <w:link w:val="947"/>
    <w:uiPriority w:val="99"/>
    <w:qFormat/>
    <w:rPr>
      <w:sz w:val="20"/>
    </w:rPr>
  </w:style>
  <w:style w:type="paragraph" w:styleId="1117" w:customStyle="1">
    <w:name w:val="TOC Heading"/>
    <w:uiPriority w:val="39"/>
    <w:unhideWhenUsed/>
    <w:qFormat/>
    <w:rPr>
      <w:rFonts w:hint="default" w:ascii="Times New Roman" w:hAnsi="Times New Roman" w:eastAsia="宋体" w:cs="Times New Roman"/>
    </w:rPr>
  </w:style>
  <w:style w:type="paragraph" w:styleId="1118" w:customStyle="1">
    <w:name w:val="普通(网站)12"/>
    <w:basedOn w:val="925"/>
    <w:uiPriority w:val="0"/>
    <w:qFormat/>
    <w:pPr>
      <w:spacing w:beforeAutospacing="1" w:afterAutospacing="1"/>
    </w:pPr>
    <w:rPr>
      <w:rFonts w:cs="Times New Roman"/>
      <w:sz w:val="24"/>
    </w:rPr>
  </w:style>
  <w:style w:type="paragraph" w:styleId="1119" w:customStyle="1">
    <w:name w:val="普通(网站)11"/>
    <w:basedOn w:val="925"/>
    <w:uiPriority w:val="0"/>
    <w:unhideWhenUsed/>
    <w:qFormat/>
    <w:pPr>
      <w:ind w:firstLine="5742"/>
      <w:jc w:val="center"/>
      <w:spacing w:before="100" w:beforeAutospacing="1" w:after="100" w:afterAutospacing="1"/>
      <w:widowControl/>
    </w:pPr>
    <w:rPr>
      <w:rFonts w:ascii="黑体" w:hAnsi="黑体" w:eastAsia="黑体"/>
      <w:b/>
      <w:sz w:val="44"/>
    </w:rPr>
  </w:style>
  <w:style w:type="paragraph" w:styleId="1120" w:customStyle="1">
    <w:name w:val="首行缩进"/>
    <w:basedOn w:val="925"/>
    <w:uiPriority w:val="0"/>
    <w:qFormat/>
    <w:pPr>
      <w:ind w:firstLine="480"/>
    </w:pPr>
    <w:rPr>
      <w:rFonts w:ascii="宋体" w:hAnsi="宋体" w:cs="宋体"/>
      <w:sz w:val="24"/>
    </w:rPr>
  </w:style>
  <w:style w:type="paragraph" w:styleId="1121" w:customStyle="1">
    <w:name w:val="普通正文"/>
    <w:basedOn w:val="925"/>
    <w:uiPriority w:val="0"/>
    <w:qFormat/>
    <w:pPr>
      <w:ind w:firstLine="480"/>
      <w:spacing w:before="120" w:after="120"/>
    </w:pPr>
    <w:rPr>
      <w:rFonts w:ascii="Arial" w:hAnsi="Arial"/>
      <w:sz w:val="24"/>
    </w:rPr>
  </w:style>
  <w:style w:type="paragraph" w:styleId="1122" w:customStyle="1">
    <w:name w:val="Char"/>
    <w:basedOn w:val="925"/>
    <w:uiPriority w:val="0"/>
    <w:qFormat/>
    <w:pPr>
      <w:tabs>
        <w:tab w:val="left" w:pos="360" w:leader="none"/>
      </w:tabs>
    </w:pPr>
    <w:rPr>
      <w:sz w:val="24"/>
    </w:rPr>
  </w:style>
  <w:style w:type="table" w:styleId="1123" w:customStyle="1">
    <w:name w:val="网格型1"/>
    <w:uiPriority w:val="59"/>
    <w:qFormat/>
    <w:rPr>
      <w:lang w:val="en-US" w:eastAsia="zh-CN" w:bidi="ar-SA"/>
    </w:rPr>
    <w:tblPr/>
  </w:style>
  <w:style w:type="paragraph" w:styleId="1124" w:customStyle="1">
    <w:name w:val="页眉11"/>
    <w:basedOn w:val="925"/>
    <w:uiPriority w:val="0"/>
    <w:qFormat/>
    <w:pPr>
      <w:jc w:val="center"/>
      <w:tabs>
        <w:tab w:val="center" w:pos="4153" w:leader="none"/>
        <w:tab w:val="right" w:pos="8306" w:leader="none"/>
      </w:tabs>
      <w:pBdr>
        <w:bottom w:val="single" w:color="000000" w:sz="6" w:space="1"/>
      </w:pBdr>
    </w:pPr>
    <w:rPr>
      <w:sz w:val="18"/>
      <w:szCs w:val="18"/>
    </w:rPr>
  </w:style>
  <w:style w:type="paragraph" w:styleId="1125" w:customStyle="1">
    <w:name w:val="页脚111"/>
    <w:basedOn w:val="925"/>
    <w:uiPriority w:val="0"/>
    <w:qFormat/>
    <w:pPr>
      <w:tabs>
        <w:tab w:val="center" w:pos="4153" w:leader="none"/>
        <w:tab w:val="right" w:pos="8306" w:leader="none"/>
      </w:tabs>
    </w:pPr>
    <w:rPr>
      <w:sz w:val="18"/>
      <w:szCs w:val="18"/>
    </w:rPr>
  </w:style>
  <w:style w:type="paragraph" w:styleId="1126" w:customStyle="1">
    <w:name w:val="页脚11"/>
    <w:basedOn w:val="925"/>
    <w:uiPriority w:val="0"/>
    <w:qFormat/>
    <w:pPr>
      <w:tabs>
        <w:tab w:val="center" w:pos="4153" w:leader="none"/>
        <w:tab w:val="right" w:pos="8306" w:leader="none"/>
      </w:tabs>
    </w:pPr>
    <w:rPr>
      <w:sz w:val="18"/>
      <w:szCs w:val="20"/>
    </w:rPr>
  </w:style>
  <w:style w:type="character" w:styleId="1127" w:customStyle="1">
    <w:name w:val="页码11"/>
    <w:link w:val="925"/>
    <w:uiPriority w:val="0"/>
    <w:qFormat/>
    <w:rPr>
      <w:rFonts w:hint="default" w:ascii="宋体" w:hAnsi="宋体" w:eastAsia="宋体" w:cs="宋体"/>
      <w:color w:val="000000"/>
      <w:sz w:val="22"/>
      <w:szCs w:val="21"/>
      <w:lang w:val="en-US" w:eastAsia="zh-CN" w:bidi="ar-SA"/>
    </w:rPr>
  </w:style>
  <w:style w:type="paragraph" w:styleId="1128" w:customStyle="1">
    <w:name w:val="标题 21"/>
    <w:basedOn w:val="925"/>
    <w:next w:val="925"/>
    <w:uiPriority w:val="0"/>
    <w:qFormat/>
    <w:pPr>
      <w:jc w:val="center"/>
      <w:keepLines/>
      <w:keepNext/>
      <w:spacing w:before="260" w:after="260" w:line="416" w:lineRule="auto"/>
      <w:outlineLvl w:val="1"/>
    </w:pPr>
    <w:rPr>
      <w:rFonts w:ascii="Arial" w:hAnsi="Arial" w:eastAsia="幼圆"/>
      <w:b/>
      <w:sz w:val="44"/>
      <w:szCs w:val="20"/>
    </w:rPr>
  </w:style>
  <w:style w:type="paragraph" w:styleId="1129" w:customStyle="1">
    <w:name w:val="_Style 1"/>
    <w:basedOn w:val="925"/>
    <w:uiPriority w:val="0"/>
    <w:qFormat/>
    <w:pPr>
      <w:ind w:firstLine="200"/>
    </w:pPr>
    <w:rPr>
      <w:rFonts w:ascii="Times New Roman" w:hAnsi="Times New Roman" w:cs="Times New Roman"/>
      <w:szCs w:val="24"/>
    </w:rPr>
  </w:style>
  <w:style w:type="paragraph" w:styleId="1130" w:customStyle="1">
    <w:name w:val="Table Paragraph"/>
    <w:basedOn w:val="925"/>
    <w:uiPriority w:val="1"/>
    <w:qFormat/>
    <w:rPr>
      <w:rFonts w:ascii="宋体" w:hAnsi="宋体" w:eastAsia="宋体" w:cs="宋体"/>
      <w:lang w:val="en-US" w:eastAsia="zh-CN" w:bidi="ar-SA"/>
    </w:rPr>
  </w:style>
  <w:style w:type="numbering" w:styleId="11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hey</dc:creator>
  <cp:lastModifiedBy>朱亮峰</cp:lastModifiedBy>
  <cp:revision>4</cp:revision>
  <dcterms:created xsi:type="dcterms:W3CDTF">2025-02-20T07:30:00Z</dcterms:created>
  <dcterms:modified xsi:type="dcterms:W3CDTF">2025-11-21T03:33:57Z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B42F6E707B5742D1B1B6403482AD2BDB_13</vt:lpwstr>
  </property>
  <property fmtid="{D5CDD505-2E9C-101B-9397-08002B2CF9AE}" pid="4" name="KSOTemplateDocerSaveRecord">
    <vt:lpwstr>eyJoZGlkIjoiMTg3MzU5NWMwZjE3NjA2OWU2OThmNTlkYmZmYWU2Y2MiLCJ1c2VySWQiOiIzMjgwNDM4MTQifQ==</vt:lpwstr>
  </property>
</Properties>
</file>